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C6BAB" w14:textId="26BB75E8" w:rsidR="006E7A6B" w:rsidRDefault="00946E14" w:rsidP="00946E14">
      <w:pPr>
        <w:spacing w:line="360" w:lineRule="auto"/>
        <w:rPr>
          <w:b/>
          <w:lang w:val="es-ES"/>
        </w:rPr>
      </w:pPr>
      <w:r>
        <w:rPr>
          <w:b/>
          <w:lang w:val="es-ES"/>
        </w:rPr>
        <w:t>Pintura voraz de la existencia apasionada.</w:t>
      </w:r>
    </w:p>
    <w:p w14:paraId="2899937A" w14:textId="77777777" w:rsidR="00946E14" w:rsidRDefault="00946E14" w:rsidP="00946E14">
      <w:pPr>
        <w:spacing w:line="360" w:lineRule="auto"/>
        <w:rPr>
          <w:b/>
          <w:lang w:val="es-ES"/>
        </w:rPr>
      </w:pPr>
    </w:p>
    <w:p w14:paraId="00A6FCCF" w14:textId="77777777" w:rsidR="00946E14" w:rsidRDefault="00946E14" w:rsidP="00946E14">
      <w:pPr>
        <w:spacing w:line="360" w:lineRule="auto"/>
        <w:rPr>
          <w:b/>
          <w:lang w:val="es-ES"/>
        </w:rPr>
      </w:pPr>
    </w:p>
    <w:p w14:paraId="213D352B" w14:textId="34885DB6" w:rsidR="00946E14" w:rsidRDefault="00946E14" w:rsidP="00B40DC9">
      <w:pPr>
        <w:spacing w:line="360" w:lineRule="auto"/>
        <w:rPr>
          <w:lang w:val="es-ES"/>
        </w:rPr>
      </w:pPr>
      <w:r>
        <w:rPr>
          <w:b/>
          <w:lang w:val="es-ES"/>
        </w:rPr>
        <w:tab/>
      </w:r>
      <w:r>
        <w:rPr>
          <w:b/>
          <w:lang w:val="es-ES"/>
        </w:rPr>
        <w:tab/>
      </w:r>
      <w:r>
        <w:rPr>
          <w:b/>
          <w:lang w:val="es-ES"/>
        </w:rPr>
        <w:tab/>
      </w:r>
      <w:r>
        <w:rPr>
          <w:b/>
          <w:lang w:val="es-ES"/>
        </w:rPr>
        <w:tab/>
      </w:r>
      <w:r>
        <w:rPr>
          <w:lang w:val="es-ES"/>
        </w:rPr>
        <w:t>Fernando Castro Flórez.</w:t>
      </w:r>
    </w:p>
    <w:p w14:paraId="5143E3D6" w14:textId="77777777" w:rsidR="00946E14" w:rsidRPr="00946E14" w:rsidRDefault="00946E14" w:rsidP="00946E14">
      <w:pPr>
        <w:spacing w:line="360" w:lineRule="auto"/>
        <w:rPr>
          <w:lang w:val="es-ES"/>
        </w:rPr>
      </w:pPr>
    </w:p>
    <w:p w14:paraId="6B2FB9AD" w14:textId="77777777" w:rsidR="00946E14" w:rsidRDefault="00946E14" w:rsidP="00946E14">
      <w:pPr>
        <w:spacing w:line="360" w:lineRule="auto"/>
        <w:rPr>
          <w:lang w:val="es-ES"/>
        </w:rPr>
      </w:pPr>
    </w:p>
    <w:p w14:paraId="20F315D7" w14:textId="77777777" w:rsidR="00946E14" w:rsidRDefault="00946E14" w:rsidP="00946E14">
      <w:pPr>
        <w:spacing w:line="360" w:lineRule="auto"/>
        <w:rPr>
          <w:lang w:val="es-ES"/>
        </w:rPr>
      </w:pPr>
    </w:p>
    <w:p w14:paraId="62471D94" w14:textId="37C6E228" w:rsidR="00483A37" w:rsidRDefault="00483A37" w:rsidP="00946E14">
      <w:pPr>
        <w:spacing w:line="360" w:lineRule="auto"/>
        <w:rPr>
          <w:lang w:val="es-ES"/>
        </w:rPr>
      </w:pPr>
      <w:r>
        <w:rPr>
          <w:lang w:val="es-ES"/>
        </w:rPr>
        <w:t>“El ar</w:t>
      </w:r>
      <w:r w:rsidR="00B40DC9">
        <w:rPr>
          <w:lang w:val="es-ES"/>
        </w:rPr>
        <w:t>te del pintor –escribía Novalis–</w:t>
      </w:r>
      <w:r>
        <w:rPr>
          <w:lang w:val="es-ES"/>
        </w:rPr>
        <w:t xml:space="preserve"> nació de manera tan independiente, tan </w:t>
      </w:r>
      <w:r>
        <w:rPr>
          <w:i/>
          <w:lang w:val="es-ES"/>
        </w:rPr>
        <w:t xml:space="preserve">a priori </w:t>
      </w:r>
      <w:r>
        <w:rPr>
          <w:lang w:val="es-ES"/>
        </w:rPr>
        <w:t>como el del músico. Sólo que el pintor emplea un lenguaje de signos infinitamente más difícil que el del músico. El pintor pinta verdaderamente con el ojo”.</w:t>
      </w:r>
    </w:p>
    <w:p w14:paraId="5D469D6A" w14:textId="77777777" w:rsidR="00483A37" w:rsidRDefault="00483A37" w:rsidP="00946E14">
      <w:pPr>
        <w:spacing w:line="360" w:lineRule="auto"/>
        <w:rPr>
          <w:lang w:val="es-ES"/>
        </w:rPr>
      </w:pPr>
    </w:p>
    <w:p w14:paraId="57BC2587" w14:textId="58408AF4" w:rsidR="001E0434" w:rsidRDefault="001E0434" w:rsidP="00946E14">
      <w:pPr>
        <w:spacing w:line="360" w:lineRule="auto"/>
        <w:rPr>
          <w:lang w:val="es-ES"/>
        </w:rPr>
      </w:pPr>
    </w:p>
    <w:p w14:paraId="47F36231" w14:textId="77777777" w:rsidR="000F6962" w:rsidRDefault="000F6962" w:rsidP="00946E14">
      <w:pPr>
        <w:spacing w:line="360" w:lineRule="auto"/>
        <w:rPr>
          <w:lang w:val="es-ES"/>
        </w:rPr>
      </w:pPr>
    </w:p>
    <w:p w14:paraId="4AA50BD7" w14:textId="78029AD7" w:rsidR="001E0434" w:rsidRPr="00946E14" w:rsidRDefault="0007368E" w:rsidP="00946E14">
      <w:pPr>
        <w:spacing w:line="360" w:lineRule="auto"/>
        <w:ind w:firstLine="708"/>
        <w:rPr>
          <w:i/>
          <w:lang w:val="es-ES"/>
        </w:rPr>
      </w:pPr>
      <w:r>
        <w:rPr>
          <w:lang w:val="es-ES"/>
        </w:rPr>
        <w:t xml:space="preserve">“El arte no solo capta y refleja la excitación, la emoción que encierra la vida. A veces va incluso más allá: el arte </w:t>
      </w:r>
      <w:r>
        <w:rPr>
          <w:i/>
          <w:lang w:val="es-ES"/>
        </w:rPr>
        <w:t xml:space="preserve">es </w:t>
      </w:r>
      <w:r>
        <w:rPr>
          <w:lang w:val="es-ES"/>
        </w:rPr>
        <w:t>esa emoción”</w:t>
      </w:r>
      <w:r>
        <w:rPr>
          <w:rStyle w:val="Refdenotaalpie"/>
          <w:lang w:val="es-ES"/>
        </w:rPr>
        <w:footnoteReference w:id="1"/>
      </w:r>
      <w:r w:rsidR="001E399C">
        <w:rPr>
          <w:lang w:val="es-ES"/>
        </w:rPr>
        <w:t xml:space="preserve">. </w:t>
      </w:r>
      <w:r>
        <w:rPr>
          <w:lang w:val="es-ES"/>
        </w:rPr>
        <w:t>No se trata de “explicar” los cuadros sino de sentir el impulso de escribir sobre ellos tras la experiencia de intenso placer visual que nos han proporcionado</w:t>
      </w:r>
      <w:r>
        <w:rPr>
          <w:rStyle w:val="Refdenotaalpie"/>
          <w:lang w:val="es-ES"/>
        </w:rPr>
        <w:footnoteReference w:id="2"/>
      </w:r>
      <w:r w:rsidR="00E52542">
        <w:rPr>
          <w:lang w:val="es-ES"/>
        </w:rPr>
        <w:t>. Tampoco basta con una “meditación complaciente” o con una descripción (pretendidamente) detallada. En última instancia, la obra de arte mantiene su condición enigmática, esa dimensión de lo inquietante que, en sentido freudiano, late en lo familiar. S</w:t>
      </w:r>
      <w:r w:rsidR="00B40DC9">
        <w:rPr>
          <w:lang w:val="es-ES"/>
        </w:rPr>
        <w:t>i lo</w:t>
      </w:r>
      <w:r w:rsidR="005E12E6">
        <w:rPr>
          <w:lang w:val="es-ES"/>
        </w:rPr>
        <w:t xml:space="preserve"> que nos levanta son nuestros </w:t>
      </w:r>
      <w:r w:rsidR="005E12E6">
        <w:rPr>
          <w:lang w:val="es-ES"/>
        </w:rPr>
        <w:lastRenderedPageBreak/>
        <w:t>deseos, tenemos la certeza de que esas pulsiones nos encadenan a la tragedia</w:t>
      </w:r>
      <w:r w:rsidR="005E12E6">
        <w:rPr>
          <w:rStyle w:val="Refdenotaalpie"/>
          <w:lang w:val="es-ES"/>
        </w:rPr>
        <w:footnoteReference w:id="3"/>
      </w:r>
      <w:r w:rsidR="00E52542">
        <w:rPr>
          <w:lang w:val="es-ES"/>
        </w:rPr>
        <w:t>.</w:t>
      </w:r>
      <w:r w:rsidR="00234FB9">
        <w:rPr>
          <w:lang w:val="es-ES"/>
        </w:rPr>
        <w:t xml:space="preserve"> Sabemos de sobra que lo abstracto no nos aparta, en ningún sentido, de lo concreto, al contrario, en la disolución de lo figurativo puede encontrarse un extraordinario anhelo por encontrar una </w:t>
      </w:r>
      <w:r w:rsidR="00234FB9">
        <w:rPr>
          <w:i/>
          <w:lang w:val="es-ES"/>
        </w:rPr>
        <w:t xml:space="preserve">configuración diferente de lo humano. </w:t>
      </w:r>
    </w:p>
    <w:p w14:paraId="03BEF15D" w14:textId="05DB6015" w:rsidR="001E0434" w:rsidRDefault="00E52542" w:rsidP="00946E14">
      <w:pPr>
        <w:spacing w:line="360" w:lineRule="auto"/>
        <w:ind w:firstLine="708"/>
        <w:rPr>
          <w:lang w:val="es-ES"/>
        </w:rPr>
      </w:pPr>
      <w:r>
        <w:rPr>
          <w:lang w:val="es-ES"/>
        </w:rPr>
        <w:t xml:space="preserve">No podemos olvidar la </w:t>
      </w:r>
      <w:r w:rsidR="00D411FA">
        <w:rPr>
          <w:lang w:val="es-ES"/>
        </w:rPr>
        <w:t xml:space="preserve">importancia, en sentido general, de la abstracción en </w:t>
      </w:r>
      <w:r w:rsidR="00FD6E5F">
        <w:rPr>
          <w:lang w:val="es-ES"/>
        </w:rPr>
        <w:t xml:space="preserve">el siglo </w:t>
      </w:r>
      <w:r w:rsidR="00F07A24">
        <w:rPr>
          <w:lang w:val="es-ES"/>
        </w:rPr>
        <w:t>veinte</w:t>
      </w:r>
      <w:r w:rsidR="00FD6E5F">
        <w:rPr>
          <w:rStyle w:val="Refdenotaalpie"/>
          <w:lang w:val="es-ES"/>
        </w:rPr>
        <w:footnoteReference w:id="4"/>
      </w:r>
      <w:r>
        <w:rPr>
          <w:lang w:val="es-ES"/>
        </w:rPr>
        <w:t xml:space="preserve">. </w:t>
      </w:r>
      <w:r w:rsidR="00AA6BBA">
        <w:rPr>
          <w:lang w:val="es-ES"/>
        </w:rPr>
        <w:t xml:space="preserve">“La </w:t>
      </w:r>
      <w:r w:rsidR="007330BC">
        <w:rPr>
          <w:lang w:val="es-ES"/>
        </w:rPr>
        <w:t>pintura –apunta W.J.T. Mitchell–</w:t>
      </w:r>
      <w:r w:rsidR="00AA6BBA">
        <w:rPr>
          <w:lang w:val="es-ES"/>
        </w:rPr>
        <w:t xml:space="preserve"> ha sido siempre el medio fetiche de la</w:t>
      </w:r>
      <w:r w:rsidR="00CD5BFD">
        <w:rPr>
          <w:lang w:val="es-ES"/>
        </w:rPr>
        <w:t xml:space="preserve"> historia del arte, como la poesí</w:t>
      </w:r>
      <w:r w:rsidR="005D4CFE">
        <w:rPr>
          <w:lang w:val="es-ES"/>
        </w:rPr>
        <w:t xml:space="preserve">a lo ha sido de la historia de la literatura y el cine de los estudios de medios. Y la pintura </w:t>
      </w:r>
      <w:r w:rsidR="005D4CFE">
        <w:rPr>
          <w:i/>
          <w:lang w:val="es-ES"/>
        </w:rPr>
        <w:t xml:space="preserve">abstracta </w:t>
      </w:r>
      <w:r w:rsidR="005D4CFE">
        <w:rPr>
          <w:lang w:val="es-ES"/>
        </w:rPr>
        <w:t>moderna ha sido el objeto fetiche de la historia de la pintura, el estilo específico, el género o la tradición (la dificultad de ponerle un nombre es parte de la cuestión) en el que se supone que la pintura encuentra su naturaleza esencial. Clement Greenberg lo expresó de forma más elocuente cuando declaró que el artista abstracto está tan “absorto en los problemas de su medio” que excluye cualquier otra consideración”</w:t>
      </w:r>
      <w:r w:rsidR="005D4CFE">
        <w:rPr>
          <w:rStyle w:val="Refdenotaalpie"/>
          <w:lang w:val="es-ES"/>
        </w:rPr>
        <w:footnoteReference w:id="5"/>
      </w:r>
      <w:r w:rsidR="00F07A24">
        <w:rPr>
          <w:lang w:val="es-ES"/>
        </w:rPr>
        <w:t>. Ahí se revela la necesidad (teórica) d</w:t>
      </w:r>
      <w:r w:rsidR="008E4529">
        <w:rPr>
          <w:lang w:val="es-ES"/>
        </w:rPr>
        <w:t>e separar a la pintura (abstracta) de las condiciones (prácticas) del capitalismo</w:t>
      </w:r>
      <w:r w:rsidR="008E4529">
        <w:rPr>
          <w:rStyle w:val="Refdenotaalpie"/>
          <w:lang w:val="es-ES"/>
        </w:rPr>
        <w:footnoteReference w:id="6"/>
      </w:r>
      <w:r w:rsidR="00F07A24">
        <w:rPr>
          <w:lang w:val="es-ES"/>
        </w:rPr>
        <w:t>, sin dejar de tener presente que e</w:t>
      </w:r>
      <w:r w:rsidR="00CE06B8">
        <w:rPr>
          <w:lang w:val="es-ES"/>
        </w:rPr>
        <w:t>l verdadero arte introduce, constantemente, discrepancias</w:t>
      </w:r>
      <w:r w:rsidR="00CE06B8">
        <w:rPr>
          <w:rStyle w:val="Refdenotaalpie"/>
          <w:lang w:val="es-ES"/>
        </w:rPr>
        <w:footnoteReference w:id="7"/>
      </w:r>
      <w:r w:rsidR="00F07A24">
        <w:rPr>
          <w:lang w:val="es-ES"/>
        </w:rPr>
        <w:t xml:space="preserve">. </w:t>
      </w:r>
    </w:p>
    <w:p w14:paraId="2D19A73F" w14:textId="55816728" w:rsidR="00BB409B" w:rsidRDefault="000452B7" w:rsidP="00946E14">
      <w:pPr>
        <w:spacing w:line="360" w:lineRule="auto"/>
        <w:ind w:firstLine="708"/>
        <w:rPr>
          <w:lang w:val="es-ES"/>
        </w:rPr>
      </w:pPr>
      <w:r>
        <w:lastRenderedPageBreak/>
        <w:t xml:space="preserve">Sin duda José Manuel Ciria es un verdadero </w:t>
      </w:r>
      <w:r>
        <w:rPr>
          <w:i/>
        </w:rPr>
        <w:t xml:space="preserve">pensador de la pintura </w:t>
      </w:r>
      <w:r>
        <w:t>que se resiste frente a la paralización manierista y planta cara a la fosilización crítico-historiográfica</w:t>
      </w:r>
      <w:r>
        <w:rPr>
          <w:rStyle w:val="Refdenotaalpie"/>
        </w:rPr>
        <w:footnoteReference w:id="8"/>
      </w:r>
      <w:r>
        <w:t>; este artista lleva tres décadas desplegando una pintura tan abstracta cuanto “mutante” que combina gesto y orden, desplazándose más allá de la dogmática modernista.</w:t>
      </w:r>
      <w:r w:rsidR="00234FB9">
        <w:t xml:space="preserve"> N</w:t>
      </w:r>
      <w:r w:rsidR="0010433F">
        <w:rPr>
          <w:lang w:val="es-ES"/>
        </w:rPr>
        <w:t xml:space="preserve">o es ningún “precipitado”, aunque su estética tiene algo de </w:t>
      </w:r>
      <w:r w:rsidR="00E94B1D">
        <w:rPr>
          <w:lang w:val="es-ES"/>
        </w:rPr>
        <w:t>p</w:t>
      </w:r>
      <w:r w:rsidR="000675DE">
        <w:rPr>
          <w:lang w:val="es-ES"/>
        </w:rPr>
        <w:t>recipitación</w:t>
      </w:r>
      <w:r w:rsidR="00E94B1D">
        <w:rPr>
          <w:rStyle w:val="Refdenotaalpie"/>
          <w:lang w:val="es-ES"/>
        </w:rPr>
        <w:footnoteReference w:id="9"/>
      </w:r>
      <w:r w:rsidR="00E94B1D">
        <w:rPr>
          <w:lang w:val="es-ES"/>
        </w:rPr>
        <w:t>: en sus cuadros se decanta la pasión pictórica, en ellos encontramos un intenso sabor</w:t>
      </w:r>
      <w:r w:rsidR="00234FB9">
        <w:rPr>
          <w:lang w:val="es-ES"/>
        </w:rPr>
        <w:t>, aquella experiencia “sensorial” que, advirtiera Roland Barthes nunca puede faltar en el saber.</w:t>
      </w:r>
      <w:r w:rsidR="00E94B1D">
        <w:rPr>
          <w:lang w:val="es-ES"/>
        </w:rPr>
        <w:t xml:space="preserve"> </w:t>
      </w:r>
      <w:r w:rsidR="00234FB9">
        <w:rPr>
          <w:lang w:val="es-ES"/>
        </w:rPr>
        <w:t xml:space="preserve">Los intensos cuadros de Ciria tiene algo de </w:t>
      </w:r>
      <w:r w:rsidR="0031049F">
        <w:rPr>
          <w:lang w:val="es-ES"/>
        </w:rPr>
        <w:t>“autoactividad del color”</w:t>
      </w:r>
      <w:r w:rsidR="00234FB9">
        <w:rPr>
          <w:lang w:val="es-ES"/>
        </w:rPr>
        <w:t xml:space="preserve">, dando la impresión de que han surgido gracias al </w:t>
      </w:r>
      <w:r w:rsidR="0031049F">
        <w:rPr>
          <w:i/>
          <w:lang w:val="es-ES"/>
        </w:rPr>
        <w:t>don de la ebriedad</w:t>
      </w:r>
      <w:r w:rsidR="0031049F" w:rsidRPr="00E94B1D">
        <w:rPr>
          <w:rStyle w:val="Refdenotaalpie"/>
          <w:lang w:val="es-ES"/>
        </w:rPr>
        <w:footnoteReference w:id="10"/>
      </w:r>
      <w:r w:rsidR="00E94B1D">
        <w:rPr>
          <w:i/>
          <w:lang w:val="es-ES"/>
        </w:rPr>
        <w:t xml:space="preserve">. </w:t>
      </w:r>
    </w:p>
    <w:p w14:paraId="032B2C82" w14:textId="16BB6C6C" w:rsidR="00BB409B" w:rsidRDefault="00BB409B" w:rsidP="00946E14">
      <w:pPr>
        <w:suppressAutoHyphens/>
        <w:spacing w:line="360" w:lineRule="auto"/>
        <w:ind w:firstLine="708"/>
        <w:jc w:val="both"/>
      </w:pPr>
      <w:r>
        <w:lastRenderedPageBreak/>
        <w:t>S</w:t>
      </w:r>
      <w:r w:rsidR="00D53551">
        <w:t>egún Lyotard lo que tendríamos que hacer es transformar la energía que se pone en juego en lo que se llama pintura, no en una especie de licuefacción, en una producción aleatoria</w:t>
      </w:r>
      <w:r w:rsidR="00D53551">
        <w:rPr>
          <w:rStyle w:val="Refdenotaalpie"/>
        </w:rPr>
        <w:footnoteReference w:id="11"/>
      </w:r>
      <w:r w:rsidR="00D53551">
        <w:t xml:space="preserve">. Efectivamente no es el Deseo (así con mayúsculas) el que “pinta” sino que lo que acontece es un proceso en el que interviene el cuerpo y la superficie hasta conformar una </w:t>
      </w:r>
      <w:r w:rsidR="00D53551">
        <w:rPr>
          <w:i/>
        </w:rPr>
        <w:t>danza</w:t>
      </w:r>
      <w:r w:rsidR="00D53551">
        <w:t xml:space="preserve">; es la conexión entre el significante y el significando, de acuerdo con las teorías de Lacan, lo que permite la elisión por la cual el significante instala la carencia del ser en la relación del objeto, sirviéndose del valor de la remisión de la significación </w:t>
      </w:r>
      <w:r w:rsidR="004B6CF7">
        <w:t xml:space="preserve">para </w:t>
      </w:r>
      <w:r w:rsidR="00D53551">
        <w:t>c</w:t>
      </w:r>
      <w:r w:rsidR="00DD60AE">
        <w:t>onvertir la falta que soporta el</w:t>
      </w:r>
      <w:r w:rsidR="00D53551">
        <w:t xml:space="preserve"> </w:t>
      </w:r>
      <w:r w:rsidR="00D53551">
        <w:rPr>
          <w:i/>
        </w:rPr>
        <w:t xml:space="preserve">deseo viviente. </w:t>
      </w:r>
      <w:r w:rsidR="00D53551">
        <w:t>“Arrancada de su escisión significante/significa</w:t>
      </w:r>
      <w:r w:rsidR="004B6CF7">
        <w:t xml:space="preserve">do, la lectura –escribe </w:t>
      </w:r>
      <w:proofErr w:type="spellStart"/>
      <w:r w:rsidR="004B6CF7">
        <w:t>Pleynet</w:t>
      </w:r>
      <w:proofErr w:type="spellEnd"/>
      <w:r w:rsidR="004B6CF7">
        <w:rPr>
          <w:lang w:val="es-ES"/>
        </w:rPr>
        <w:t>–</w:t>
      </w:r>
      <w:r w:rsidR="00D53551">
        <w:t xml:space="preserve"> entra en una danza, decepcionadas sus esperanzas en lo que le prometía su código cultural, danza en la que, al dejarse prender en su primer paso, debe ya reconocer en el gesto siguiente el juego que ya no abandonará y que la arrastrará”</w:t>
      </w:r>
      <w:r w:rsidR="00D53551">
        <w:rPr>
          <w:rStyle w:val="Refdenotaalpie"/>
        </w:rPr>
        <w:footnoteReference w:id="12"/>
      </w:r>
      <w:r w:rsidR="00D53551">
        <w:t xml:space="preserve">. </w:t>
      </w:r>
    </w:p>
    <w:p w14:paraId="1BCDBCB9" w14:textId="6ADCAC8C" w:rsidR="000452B7" w:rsidRPr="00857FBD" w:rsidRDefault="000452B7" w:rsidP="00946E14">
      <w:pPr>
        <w:spacing w:line="360" w:lineRule="auto"/>
        <w:ind w:firstLine="708"/>
        <w:rPr>
          <w:i/>
        </w:rPr>
      </w:pPr>
      <w:r>
        <w:t xml:space="preserve">En la obra de José Manuel Ciria todo es </w:t>
      </w:r>
      <w:r>
        <w:rPr>
          <w:i/>
        </w:rPr>
        <w:t xml:space="preserve">inquietante </w:t>
      </w:r>
      <w:r>
        <w:t>(familia</w:t>
      </w:r>
      <w:r w:rsidR="00715E93">
        <w:t>r</w:t>
      </w:r>
      <w:r>
        <w:t xml:space="preserve">-y-extraño en el sentido freudiano), todo parece estar a punto de derramarse, pugnando contra la quietud clásica. Decididamente barroco y, al mismo tiempo, apasionado </w:t>
      </w:r>
      <w:proofErr w:type="spellStart"/>
      <w:r>
        <w:rPr>
          <w:i/>
        </w:rPr>
        <w:t>bricoleur</w:t>
      </w:r>
      <w:proofErr w:type="spellEnd"/>
      <w:r>
        <w:t xml:space="preserve">, rompe con la rigidez geométrica dando siempre rienda suelta a lo </w:t>
      </w:r>
      <w:r>
        <w:rPr>
          <w:i/>
        </w:rPr>
        <w:t xml:space="preserve">pulsional. </w:t>
      </w:r>
      <w:r>
        <w:t xml:space="preserve">Conviene </w:t>
      </w:r>
      <w:r>
        <w:lastRenderedPageBreak/>
        <w:t xml:space="preserve">tener presente que la retícula, emblema y mito de la modernidad, es menos rígida de lo que parece, en ella hay también algo etéreo, una levedad inexplicable. En esa escena, sometida al imperio de la línea y del ángulo, aparece aquella “alegoría del olvido” que Duchamp denominara lo </w:t>
      </w:r>
      <w:proofErr w:type="spellStart"/>
      <w:r>
        <w:rPr>
          <w:i/>
          <w:iCs/>
        </w:rPr>
        <w:t>inframince</w:t>
      </w:r>
      <w:proofErr w:type="spellEnd"/>
      <w:r>
        <w:t xml:space="preserve"> (la geometría sin grosor) o bien la súbita transición de lo familiar a lo inhóspito. La expansión del espacio en todas direcciones se produce en la reticulación, siendo la obra un fragmento cortado de un tejido mayor; esa </w:t>
      </w:r>
      <w:r>
        <w:rPr>
          <w:i/>
          <w:iCs/>
        </w:rPr>
        <w:t>transgresión</w:t>
      </w:r>
      <w:r>
        <w:t xml:space="preserve"> lleva “más allá del marco”, desmaterializándose la superficie de lo pictórico, mientras el material se dispersa “en un parpadeo o un movimiento tácito”</w:t>
      </w:r>
      <w:r>
        <w:rPr>
          <w:rStyle w:val="Refdenotaalpie"/>
        </w:rPr>
        <w:footnoteReference w:id="13"/>
      </w:r>
      <w:r>
        <w:t xml:space="preserve">. La cuadrícula, con su ausencia de jerarquía y de centro, enfatiza su carácter </w:t>
      </w:r>
      <w:proofErr w:type="spellStart"/>
      <w:r>
        <w:t>antirreferencial</w:t>
      </w:r>
      <w:proofErr w:type="spellEnd"/>
      <w:r>
        <w:t>, haciéndose evidente su hostilidad frente a lo narrativo. “Esta estructura, impermeable tanto al tiempo como a lo accidental, no permite la proyección del lenguaje en el dominio de lo visual: el resultado es el silencio”</w:t>
      </w:r>
      <w:r>
        <w:rPr>
          <w:rStyle w:val="Refdenotaalpie"/>
        </w:rPr>
        <w:footnoteReference w:id="14"/>
      </w:r>
      <w:r>
        <w:t xml:space="preserve">. La retícula es, aunque no suela reconocerse, una </w:t>
      </w:r>
      <w:r>
        <w:rPr>
          <w:i/>
          <w:iCs/>
        </w:rPr>
        <w:t>representación de la superficie pictórica</w:t>
      </w:r>
      <w:r>
        <w:t xml:space="preserve">, en la que, en cierto sentido, se produce una veladura de la misma, al afianzarse la repetición. Tras la ficción del </w:t>
      </w:r>
      <w:r>
        <w:rPr>
          <w:i/>
          <w:iCs/>
        </w:rPr>
        <w:t>estatuto originario de la superficie pictórica</w:t>
      </w:r>
      <w:r>
        <w:t xml:space="preserve">, característica del minimalismo “purista”, fueron proliferando, con es evidente en algunas pinturas de Ciria, </w:t>
      </w:r>
      <w:r>
        <w:rPr>
          <w:i/>
          <w:iCs/>
        </w:rPr>
        <w:t xml:space="preserve">reticulaciones enrarecidas </w:t>
      </w:r>
      <w:r>
        <w:t xml:space="preserve">sin pretender con ello cimentar ningún tipo de nominalismo ortodoxo. </w:t>
      </w:r>
    </w:p>
    <w:p w14:paraId="52763144" w14:textId="5C998F26" w:rsidR="00980D79" w:rsidRDefault="000452B7" w:rsidP="00946E14">
      <w:pPr>
        <w:suppressAutoHyphens/>
        <w:spacing w:line="360" w:lineRule="auto"/>
        <w:ind w:firstLine="708"/>
        <w:jc w:val="both"/>
      </w:pPr>
      <w:r>
        <w:rPr>
          <w:spacing w:val="-3"/>
        </w:rPr>
        <w:t xml:space="preserve">Ciria no está, ni mucho menos, interesado en desplegar una pintura abstracta que sea </w:t>
      </w:r>
      <w:r>
        <w:rPr>
          <w:i/>
          <w:spacing w:val="-3"/>
        </w:rPr>
        <w:t xml:space="preserve">imposición </w:t>
      </w:r>
      <w:r>
        <w:rPr>
          <w:spacing w:val="-3"/>
        </w:rPr>
        <w:t xml:space="preserve">del </w:t>
      </w:r>
      <w:r>
        <w:rPr>
          <w:i/>
          <w:spacing w:val="-3"/>
        </w:rPr>
        <w:t xml:space="preserve">pure </w:t>
      </w:r>
      <w:proofErr w:type="spellStart"/>
      <w:r>
        <w:rPr>
          <w:i/>
          <w:spacing w:val="-3"/>
        </w:rPr>
        <w:t>grounding</w:t>
      </w:r>
      <w:proofErr w:type="spellEnd"/>
      <w:r w:rsidRPr="000E7100">
        <w:rPr>
          <w:rStyle w:val="Refdenotaalpie"/>
          <w:spacing w:val="-3"/>
        </w:rPr>
        <w:footnoteReference w:id="15"/>
      </w:r>
      <w:r>
        <w:rPr>
          <w:spacing w:val="-3"/>
        </w:rPr>
        <w:t xml:space="preserve"> ni está entregado a los elegantes placeres de un “minimalismo” que a la postre saca partido de </w:t>
      </w:r>
      <w:r>
        <w:rPr>
          <w:i/>
          <w:spacing w:val="-3"/>
        </w:rPr>
        <w:t xml:space="preserve">poca cosa. </w:t>
      </w:r>
      <w:r>
        <w:rPr>
          <w:spacing w:val="-3"/>
        </w:rPr>
        <w:t xml:space="preserve">En sus obras siempre </w:t>
      </w:r>
      <w:r>
        <w:rPr>
          <w:i/>
          <w:spacing w:val="-3"/>
        </w:rPr>
        <w:t>acontece algo</w:t>
      </w:r>
      <w:r>
        <w:rPr>
          <w:spacing w:val="-3"/>
        </w:rPr>
        <w:t xml:space="preserve"> y, además, la suya es una pintura que no renuncia, como pretendiera Michael </w:t>
      </w:r>
      <w:proofErr w:type="spellStart"/>
      <w:r>
        <w:rPr>
          <w:spacing w:val="-3"/>
        </w:rPr>
        <w:t>Fried</w:t>
      </w:r>
      <w:proofErr w:type="spellEnd"/>
      <w:r>
        <w:rPr>
          <w:spacing w:val="-3"/>
        </w:rPr>
        <w:t xml:space="preserve">, </w:t>
      </w:r>
      <w:r>
        <w:rPr>
          <w:spacing w:val="-3"/>
        </w:rPr>
        <w:lastRenderedPageBreak/>
        <w:t xml:space="preserve">a </w:t>
      </w:r>
      <w:r>
        <w:rPr>
          <w:i/>
          <w:spacing w:val="-3"/>
        </w:rPr>
        <w:t>lo teatral</w:t>
      </w:r>
      <w:r w:rsidRPr="005B5529">
        <w:rPr>
          <w:rStyle w:val="Refdenotaalpie"/>
          <w:spacing w:val="-3"/>
        </w:rPr>
        <w:footnoteReference w:id="16"/>
      </w:r>
      <w:r>
        <w:rPr>
          <w:i/>
          <w:spacing w:val="-3"/>
        </w:rPr>
        <w:t>.</w:t>
      </w:r>
      <w:r w:rsidR="00234FB9">
        <w:t xml:space="preserve"> </w:t>
      </w:r>
      <w:r w:rsidR="00980D79">
        <w:t xml:space="preserve">Este artista ha entendido perfectamente las cualidades (cromáticas) del </w:t>
      </w:r>
      <w:r w:rsidR="00980D79">
        <w:rPr>
          <w:i/>
        </w:rPr>
        <w:t>material sensible de la pintura</w:t>
      </w:r>
      <w:r w:rsidR="00980D79" w:rsidRPr="00EE76DE">
        <w:rPr>
          <w:rStyle w:val="Refdenotaalpie"/>
        </w:rPr>
        <w:footnoteReference w:id="17"/>
      </w:r>
      <w:r w:rsidR="00980D79">
        <w:rPr>
          <w:i/>
        </w:rPr>
        <w:t xml:space="preserve">. </w:t>
      </w:r>
      <w:r w:rsidR="00980D79">
        <w:t xml:space="preserve">La suya es una de las pinturas más </w:t>
      </w:r>
      <w:r w:rsidR="00980D79">
        <w:rPr>
          <w:i/>
        </w:rPr>
        <w:t xml:space="preserve">lúcidas </w:t>
      </w:r>
      <w:r w:rsidR="00980D79">
        <w:t>que puedan darse, aunque no excluyan la “conciencia desgarrada”, pensando siempre en la constitución de lo visible como adv</w:t>
      </w:r>
      <w:r w:rsidR="009A466E">
        <w:t xml:space="preserve">enimiento del color, como una materia que es, </w:t>
      </w:r>
      <w:r w:rsidR="00980D79">
        <w:t xml:space="preserve">valga la paradoja, tan densa cuanto sutil. Tendríamos que volver a pensar el color, en términos aristotélicos, como </w:t>
      </w:r>
      <w:r w:rsidR="00980D79">
        <w:rPr>
          <w:i/>
        </w:rPr>
        <w:t>potencia</w:t>
      </w:r>
      <w:r w:rsidR="00980D79">
        <w:t xml:space="preserve"> (vehículo de la visibilidad) que existe en el límite de los cuerpos</w:t>
      </w:r>
      <w:r w:rsidR="00980D79">
        <w:rPr>
          <w:rStyle w:val="Refdenotaalpie"/>
        </w:rPr>
        <w:footnoteReference w:id="18"/>
      </w:r>
      <w:r w:rsidR="00980D79">
        <w:t>.</w:t>
      </w:r>
    </w:p>
    <w:p w14:paraId="01A650A4" w14:textId="6C10A9A3" w:rsidR="00483A37" w:rsidRDefault="00DA0C37" w:rsidP="00946E14">
      <w:pPr>
        <w:spacing w:line="360" w:lineRule="auto"/>
        <w:ind w:firstLine="708"/>
        <w:rPr>
          <w:lang w:val="es-ES"/>
        </w:rPr>
      </w:pPr>
      <w:r>
        <w:rPr>
          <w:lang w:val="es-ES"/>
        </w:rPr>
        <w:t xml:space="preserve">“Sé muy bien –escribió con tono sarcástico Delacroix en su </w:t>
      </w:r>
      <w:r>
        <w:rPr>
          <w:i/>
          <w:lang w:val="es-ES"/>
        </w:rPr>
        <w:t>Diario</w:t>
      </w:r>
      <w:r w:rsidR="00385D50">
        <w:rPr>
          <w:lang w:val="es-ES"/>
        </w:rPr>
        <w:t>–</w:t>
      </w:r>
      <w:r>
        <w:rPr>
          <w:i/>
          <w:lang w:val="es-ES"/>
        </w:rPr>
        <w:t xml:space="preserve"> </w:t>
      </w:r>
      <w:r>
        <w:rPr>
          <w:lang w:val="es-ES"/>
        </w:rPr>
        <w:t xml:space="preserve">que tildarme de colorista representa más un obstáculo que un elogio […]. Se piensa que un colorista solo se entretiene en los aspectos inferiores y, por decirlo de algún modo, terrenales de la pintura. Que un </w:t>
      </w:r>
      <w:r w:rsidR="00385D50">
        <w:rPr>
          <w:lang w:val="es-ES"/>
        </w:rPr>
        <w:t>buen dibujo es mucho mejor cuant</w:t>
      </w:r>
      <w:r>
        <w:rPr>
          <w:lang w:val="es-ES"/>
        </w:rPr>
        <w:t xml:space="preserve">o más acompañado de un color aburrido y que la función del color es distraer la atención de la cualidad más </w:t>
      </w:r>
      <w:r>
        <w:rPr>
          <w:lang w:val="es-ES"/>
        </w:rPr>
        <w:lastRenderedPageBreak/>
        <w:t>sublime, que puede arreglárselas perfectamente sin cualquier prestigio que el color pudiera proporcionarle”</w:t>
      </w:r>
      <w:r w:rsidR="00980D79">
        <w:rPr>
          <w:lang w:val="es-ES"/>
        </w:rPr>
        <w:t xml:space="preserve">. </w:t>
      </w:r>
      <w:r w:rsidR="00B72C19">
        <w:rPr>
          <w:lang w:val="es-ES"/>
        </w:rPr>
        <w:t>Ciria</w:t>
      </w:r>
      <w:r w:rsidR="00034368">
        <w:rPr>
          <w:lang w:val="es-ES"/>
        </w:rPr>
        <w:t xml:space="preserve"> no es meramente un colorista, aunque se nota que siente una profunda </w:t>
      </w:r>
      <w:r w:rsidR="00034368">
        <w:rPr>
          <w:i/>
          <w:lang w:val="es-ES"/>
        </w:rPr>
        <w:t>pasión cromática</w:t>
      </w:r>
      <w:r w:rsidR="00034368">
        <w:rPr>
          <w:lang w:val="es-ES"/>
        </w:rPr>
        <w:t xml:space="preserve"> o que incluso podría confiar en lo que </w:t>
      </w:r>
      <w:r w:rsidR="000172D2">
        <w:rPr>
          <w:lang w:val="es-ES"/>
        </w:rPr>
        <w:t>Mer</w:t>
      </w:r>
      <w:r w:rsidR="00034368">
        <w:rPr>
          <w:lang w:val="es-ES"/>
        </w:rPr>
        <w:t>lea</w:t>
      </w:r>
      <w:r w:rsidR="000172D2">
        <w:rPr>
          <w:lang w:val="es-ES"/>
        </w:rPr>
        <w:t xml:space="preserve">u-Ponty llamara “la fuerza </w:t>
      </w:r>
      <w:proofErr w:type="spellStart"/>
      <w:r w:rsidR="000172D2">
        <w:rPr>
          <w:lang w:val="es-ES"/>
        </w:rPr>
        <w:t>talismánica</w:t>
      </w:r>
      <w:proofErr w:type="spellEnd"/>
      <w:r w:rsidR="000172D2">
        <w:rPr>
          <w:lang w:val="es-ES"/>
        </w:rPr>
        <w:t xml:space="preserve"> del color”</w:t>
      </w:r>
      <w:r w:rsidR="00034368">
        <w:rPr>
          <w:lang w:val="es-ES"/>
        </w:rPr>
        <w:t xml:space="preserve">, esto es, lo fundamental sería encontrar </w:t>
      </w:r>
      <w:r w:rsidR="000172D2">
        <w:rPr>
          <w:lang w:val="es-ES"/>
        </w:rPr>
        <w:t>la viveza</w:t>
      </w:r>
      <w:r w:rsidR="000172D2">
        <w:rPr>
          <w:rStyle w:val="Refdenotaalpie"/>
          <w:lang w:val="es-ES"/>
        </w:rPr>
        <w:footnoteReference w:id="19"/>
      </w:r>
      <w:r w:rsidR="00034368">
        <w:rPr>
          <w:lang w:val="es-ES"/>
        </w:rPr>
        <w:t xml:space="preserve">. </w:t>
      </w:r>
    </w:p>
    <w:p w14:paraId="448E33CB" w14:textId="5629CC12" w:rsidR="00483A37" w:rsidRDefault="000452B7" w:rsidP="00946E14">
      <w:pPr>
        <w:spacing w:line="360" w:lineRule="auto"/>
        <w:ind w:firstLine="708"/>
        <w:rPr>
          <w:lang w:val="es-ES"/>
        </w:rPr>
      </w:pPr>
      <w:r>
        <w:t>En las obras de Ciria aparece una idea, aunque sea de forma difusa, de conexión entre una multiplicidad, un juego de intensidades</w:t>
      </w:r>
      <w:r>
        <w:rPr>
          <w:rStyle w:val="Refdenotaalpie"/>
        </w:rPr>
        <w:footnoteReference w:id="20"/>
      </w:r>
      <w:r>
        <w:t xml:space="preserve"> en el que la pintura es, tal y como quisiera Frank Stella, un “espacio de funcionamiento”</w:t>
      </w:r>
      <w:r>
        <w:rPr>
          <w:rStyle w:val="Refdenotaalpie"/>
        </w:rPr>
        <w:footnoteReference w:id="21"/>
      </w:r>
      <w:r>
        <w:t>.</w:t>
      </w:r>
      <w:r w:rsidR="00B72C19">
        <w:rPr>
          <w:lang w:val="es-ES"/>
        </w:rPr>
        <w:t xml:space="preserve"> </w:t>
      </w:r>
      <w:r w:rsidR="00D77C7B">
        <w:rPr>
          <w:lang w:val="es-ES"/>
        </w:rPr>
        <w:t xml:space="preserve">El cuadro no es una ventana sino un espacio que tiene algo de impenetrable, como si algo avanzara, como dijera </w:t>
      </w:r>
      <w:proofErr w:type="spellStart"/>
      <w:r w:rsidR="00D77C7B">
        <w:rPr>
          <w:lang w:val="es-ES"/>
        </w:rPr>
        <w:t>Benjamin</w:t>
      </w:r>
      <w:proofErr w:type="spellEnd"/>
      <w:r w:rsidR="00D77C7B">
        <w:rPr>
          <w:lang w:val="es-ES"/>
        </w:rPr>
        <w:t xml:space="preserve"> contemplando un cuadro de Cézanne, hacia nosotros</w:t>
      </w:r>
      <w:r w:rsidR="00D77C7B">
        <w:rPr>
          <w:rStyle w:val="Refdenotaalpie"/>
          <w:lang w:val="es-ES"/>
        </w:rPr>
        <w:footnoteReference w:id="22"/>
      </w:r>
      <w:r w:rsidR="00B327C7">
        <w:rPr>
          <w:lang w:val="es-ES"/>
        </w:rPr>
        <w:t xml:space="preserve">. </w:t>
      </w:r>
      <w:r w:rsidR="00483A37">
        <w:rPr>
          <w:lang w:val="es-ES"/>
        </w:rPr>
        <w:t xml:space="preserve">La pintura de </w:t>
      </w:r>
      <w:r w:rsidR="00483A37">
        <w:rPr>
          <w:lang w:val="es-ES"/>
        </w:rPr>
        <w:lastRenderedPageBreak/>
        <w:t xml:space="preserve">Ciria </w:t>
      </w:r>
      <w:r w:rsidR="00CB5576">
        <w:rPr>
          <w:lang w:val="es-ES"/>
        </w:rPr>
        <w:t>no surge, en ningún sentido, del “temor al espacio” ni hay en ella una dinámica de “auto-alienación”</w:t>
      </w:r>
      <w:r w:rsidR="00CB5576">
        <w:rPr>
          <w:rStyle w:val="Refdenotaalpie"/>
          <w:lang w:val="es-ES"/>
        </w:rPr>
        <w:footnoteReference w:id="23"/>
      </w:r>
      <w:r w:rsidR="00B327C7">
        <w:rPr>
          <w:lang w:val="es-ES"/>
        </w:rPr>
        <w:t xml:space="preserve">. </w:t>
      </w:r>
      <w:r w:rsidR="001542F5">
        <w:rPr>
          <w:lang w:val="es-ES"/>
        </w:rPr>
        <w:t>Leonardo da Vinci advirtió que la pintura no está viva en sí, “más sin tener vida, da expresión de objetos vivos” (</w:t>
      </w:r>
      <w:r w:rsidR="001542F5">
        <w:rPr>
          <w:i/>
          <w:lang w:val="es-ES"/>
        </w:rPr>
        <w:t xml:space="preserve">Tratado de Pintura, </w:t>
      </w:r>
      <w:r w:rsidR="001542F5">
        <w:rPr>
          <w:lang w:val="es-ES"/>
        </w:rPr>
        <w:t>parágrafo 372).</w:t>
      </w:r>
      <w:r w:rsidR="00B327C7">
        <w:rPr>
          <w:lang w:val="es-ES"/>
        </w:rPr>
        <w:t xml:space="preserve"> Se trata de p</w:t>
      </w:r>
      <w:r w:rsidR="001542F5">
        <w:rPr>
          <w:lang w:val="es-ES"/>
        </w:rPr>
        <w:t>oner ante los ojos, evocar en su plasticidad una dinámica de lo vivo. A diferencia de la lengua, la imagen dispone de la capacidad de perpetuar aparentemente el movimiento y, con ello, mantener “con vida” los cuerpos representados por ella. “Esta conclusión tiene su fundamento en el hecho de que, en el punto matemático que define el paso de la nada a la línea y que produce con su movimiento la construcción de la pintura, están unidos inacción y sucesión, lo inmaterial y lo material. El punto inmaterial es, en tanto que fundamento de la pintura, el elemento de una transgresión permanente que lleva más allá de sí misma hacia su contrario</w:t>
      </w:r>
      <w:r w:rsidR="00991952">
        <w:rPr>
          <w:lang w:val="es-ES"/>
        </w:rPr>
        <w:t>, ofreciendo en esta dinámica la base de esa cualidad arrebatadora que captura al observador. Es exigente, porque, viniendo de la nada, llena lo infinito como polo opuesto y de ahí extrae su inagotable viveza”</w:t>
      </w:r>
      <w:r w:rsidR="00EF6117">
        <w:rPr>
          <w:rStyle w:val="Refdenotaalpie"/>
          <w:lang w:val="es-ES"/>
        </w:rPr>
        <w:footnoteReference w:id="24"/>
      </w:r>
      <w:r w:rsidR="00B327C7">
        <w:rPr>
          <w:lang w:val="es-ES"/>
        </w:rPr>
        <w:t>.</w:t>
      </w:r>
    </w:p>
    <w:p w14:paraId="45A2F8D2" w14:textId="592678DA" w:rsidR="007816A1" w:rsidRPr="002515E3" w:rsidRDefault="000452B7" w:rsidP="00946E14">
      <w:pPr>
        <w:spacing w:line="360" w:lineRule="auto"/>
        <w:ind w:firstLine="708"/>
      </w:pPr>
      <w:r>
        <w:t xml:space="preserve">Ciria ha definido su pintura como </w:t>
      </w:r>
      <w:r>
        <w:rPr>
          <w:i/>
        </w:rPr>
        <w:t xml:space="preserve">abstracción deconstructiva automática, </w:t>
      </w:r>
      <w:r>
        <w:t>subrayando que, en sus obras, se trata de provocar encuentros y accidentes tanto de materiales cuanto conceptuales, combinando la mancha informe con el estatismo geométrico, en un singular (des)control. Pintura híbrida, sin duda, en la que, como el propio artista indica, hay tanta sobriedad cuanto humor</w:t>
      </w:r>
      <w:r>
        <w:rPr>
          <w:rStyle w:val="Refdenotaalpie"/>
        </w:rPr>
        <w:footnoteReference w:id="25"/>
      </w:r>
      <w:r>
        <w:t>.</w:t>
      </w:r>
      <w:r w:rsidR="00B72C19">
        <w:t xml:space="preserve"> </w:t>
      </w:r>
      <w:r>
        <w:t xml:space="preserve">Pintar es, en el caso de </w:t>
      </w:r>
      <w:r>
        <w:lastRenderedPageBreak/>
        <w:t>Ciria, un proceso que se realimenta, pero no sólo de cara a la propia pintura sino a otros medios: un modo de pensar de manera física. Este artista señala que su tarea es “expresar lo que no se deja decir”</w:t>
      </w:r>
      <w:r>
        <w:rPr>
          <w:rStyle w:val="Refdenotaalpie"/>
        </w:rPr>
        <w:footnoteReference w:id="26"/>
      </w:r>
      <w:r>
        <w:t xml:space="preserve">, pero sobre todo su vocación es la de persistir en una pintura que resurge incluso de su </w:t>
      </w:r>
      <w:r>
        <w:rPr>
          <w:i/>
        </w:rPr>
        <w:t>extenuación</w:t>
      </w:r>
      <w:r>
        <w:t>.</w:t>
      </w:r>
      <w:r w:rsidR="009D072D">
        <w:tab/>
      </w:r>
    </w:p>
    <w:p w14:paraId="329607E0" w14:textId="57FB1735" w:rsidR="007816A1" w:rsidRDefault="00CA4240" w:rsidP="00946E14">
      <w:pPr>
        <w:spacing w:line="360" w:lineRule="auto"/>
        <w:ind w:firstLine="708"/>
        <w:rPr>
          <w:lang w:val="es-ES"/>
        </w:rPr>
      </w:pPr>
      <w:r>
        <w:rPr>
          <w:lang w:val="es-ES"/>
        </w:rPr>
        <w:t xml:space="preserve">Michael </w:t>
      </w:r>
      <w:proofErr w:type="spellStart"/>
      <w:r>
        <w:rPr>
          <w:lang w:val="es-ES"/>
        </w:rPr>
        <w:t>Fried</w:t>
      </w:r>
      <w:proofErr w:type="spellEnd"/>
      <w:r>
        <w:rPr>
          <w:lang w:val="es-ES"/>
        </w:rPr>
        <w:t xml:space="preserve">, en torno a </w:t>
      </w:r>
      <w:proofErr w:type="spellStart"/>
      <w:r>
        <w:rPr>
          <w:i/>
          <w:lang w:val="es-ES"/>
        </w:rPr>
        <w:t>Out</w:t>
      </w:r>
      <w:proofErr w:type="spellEnd"/>
      <w:r>
        <w:rPr>
          <w:i/>
          <w:lang w:val="es-ES"/>
        </w:rPr>
        <w:t xml:space="preserve"> </w:t>
      </w:r>
      <w:proofErr w:type="spellStart"/>
      <w:r>
        <w:rPr>
          <w:i/>
          <w:lang w:val="es-ES"/>
        </w:rPr>
        <w:t>of</w:t>
      </w:r>
      <w:proofErr w:type="spellEnd"/>
      <w:r>
        <w:rPr>
          <w:i/>
          <w:lang w:val="es-ES"/>
        </w:rPr>
        <w:t xml:space="preserve"> </w:t>
      </w:r>
      <w:proofErr w:type="spellStart"/>
      <w:r>
        <w:rPr>
          <w:i/>
          <w:lang w:val="es-ES"/>
        </w:rPr>
        <w:t>the</w:t>
      </w:r>
      <w:proofErr w:type="spellEnd"/>
      <w:r>
        <w:rPr>
          <w:i/>
          <w:lang w:val="es-ES"/>
        </w:rPr>
        <w:t xml:space="preserve"> Web </w:t>
      </w:r>
      <w:r w:rsidR="00534268">
        <w:rPr>
          <w:lang w:val="es-ES"/>
        </w:rPr>
        <w:t>de Jackson Pollock apunta que l</w:t>
      </w:r>
      <w:r>
        <w:rPr>
          <w:lang w:val="es-ES"/>
        </w:rPr>
        <w:t xml:space="preserve">a figura es algo </w:t>
      </w:r>
      <w:r>
        <w:rPr>
          <w:i/>
          <w:lang w:val="es-ES"/>
        </w:rPr>
        <w:t>que no vemos</w:t>
      </w:r>
      <w:r>
        <w:rPr>
          <w:lang w:val="es-ES"/>
        </w:rPr>
        <w:t xml:space="preserve">: </w:t>
      </w:r>
      <w:r w:rsidR="00534268">
        <w:rPr>
          <w:lang w:val="es-ES"/>
        </w:rPr>
        <w:t>“</w:t>
      </w:r>
      <w:r>
        <w:rPr>
          <w:lang w:val="es-ES"/>
        </w:rPr>
        <w:t xml:space="preserve">es, literalmente, </w:t>
      </w:r>
      <w:r>
        <w:rPr>
          <w:i/>
          <w:lang w:val="es-ES"/>
        </w:rPr>
        <w:t xml:space="preserve">donde </w:t>
      </w:r>
      <w:r>
        <w:rPr>
          <w:lang w:val="es-ES"/>
        </w:rPr>
        <w:t>no vemos… Más que nada, es una especie de punto ciego, o defecto en nuestro sistema visual”</w:t>
      </w:r>
      <w:r>
        <w:rPr>
          <w:rStyle w:val="Refdenotaalpie"/>
          <w:lang w:val="es-ES"/>
        </w:rPr>
        <w:footnoteReference w:id="27"/>
      </w:r>
      <w:r w:rsidR="00534268">
        <w:rPr>
          <w:lang w:val="es-ES"/>
        </w:rPr>
        <w:t xml:space="preserve">. Acaso no estamos sino entreviendo “lo que nos toca” (el </w:t>
      </w:r>
      <w:proofErr w:type="spellStart"/>
      <w:r w:rsidR="00534268">
        <w:rPr>
          <w:i/>
          <w:lang w:val="es-ES"/>
        </w:rPr>
        <w:t>punctum</w:t>
      </w:r>
      <w:proofErr w:type="spellEnd"/>
      <w:r w:rsidR="00534268">
        <w:rPr>
          <w:i/>
          <w:lang w:val="es-ES"/>
        </w:rPr>
        <w:t xml:space="preserve"> </w:t>
      </w:r>
      <w:proofErr w:type="spellStart"/>
      <w:r w:rsidR="00534268">
        <w:rPr>
          <w:lang w:val="es-ES"/>
        </w:rPr>
        <w:t>barthesiano</w:t>
      </w:r>
      <w:proofErr w:type="spellEnd"/>
      <w:r w:rsidR="00534268">
        <w:rPr>
          <w:lang w:val="es-ES"/>
        </w:rPr>
        <w:t>), l</w:t>
      </w:r>
      <w:r w:rsidR="00BB64A3">
        <w:rPr>
          <w:lang w:val="es-ES"/>
        </w:rPr>
        <w:t>o que impresiona y aquello que está a punto de saltar sobre nosotros como un animal salvaje, el ejemplo del acto icónico</w:t>
      </w:r>
      <w:r w:rsidR="00534268">
        <w:rPr>
          <w:lang w:val="es-ES"/>
        </w:rPr>
        <w:t xml:space="preserve">. </w:t>
      </w:r>
      <w:r w:rsidR="00C7594C">
        <w:rPr>
          <w:lang w:val="es-ES"/>
        </w:rPr>
        <w:t>Lucrecio designa lo que se puede llamar la fue</w:t>
      </w:r>
      <w:r w:rsidR="00534268">
        <w:rPr>
          <w:lang w:val="es-ES"/>
        </w:rPr>
        <w:t xml:space="preserve">rza física de las imágenes, </w:t>
      </w:r>
      <w:r w:rsidR="00C7594C">
        <w:rPr>
          <w:lang w:val="es-ES"/>
        </w:rPr>
        <w:t>la presión que ejercen sobre la retina para provocar reacciones.</w:t>
      </w:r>
      <w:r w:rsidR="00534268">
        <w:rPr>
          <w:lang w:val="es-ES"/>
        </w:rPr>
        <w:t xml:space="preserve"> </w:t>
      </w:r>
      <w:r w:rsidR="00C7594C">
        <w:rPr>
          <w:lang w:val="es-ES"/>
        </w:rPr>
        <w:t>El mirar se convi</w:t>
      </w:r>
      <w:r w:rsidR="00534268">
        <w:rPr>
          <w:lang w:val="es-ES"/>
        </w:rPr>
        <w:t>e</w:t>
      </w:r>
      <w:r w:rsidR="00C7594C">
        <w:rPr>
          <w:lang w:val="es-ES"/>
        </w:rPr>
        <w:t>rte en una forma especial del tocar.</w:t>
      </w:r>
      <w:r w:rsidR="008C6389">
        <w:rPr>
          <w:lang w:val="es-ES"/>
        </w:rPr>
        <w:t xml:space="preserve"> </w:t>
      </w:r>
      <w:r w:rsidR="00481FD3">
        <w:rPr>
          <w:lang w:val="es-ES"/>
        </w:rPr>
        <w:t>Aquella irritación de la mirada que podía surgir cuando contemplamos las humedades de una pared</w:t>
      </w:r>
      <w:r w:rsidR="00481FD3">
        <w:rPr>
          <w:rStyle w:val="Refdenotaalpie"/>
          <w:lang w:val="es-ES"/>
        </w:rPr>
        <w:footnoteReference w:id="28"/>
      </w:r>
      <w:r w:rsidR="00B01FC6">
        <w:rPr>
          <w:lang w:val="es-ES"/>
        </w:rPr>
        <w:t xml:space="preserve"> también se produce en las </w:t>
      </w:r>
      <w:r w:rsidR="007816A1">
        <w:rPr>
          <w:lang w:val="es-ES"/>
        </w:rPr>
        <w:t>prodigiosas obras de Ciria</w:t>
      </w:r>
      <w:r w:rsidR="00B01FC6">
        <w:rPr>
          <w:lang w:val="es-ES"/>
        </w:rPr>
        <w:t xml:space="preserve">, en esa pintura que </w:t>
      </w:r>
      <w:r w:rsidR="007C1949">
        <w:rPr>
          <w:lang w:val="es-ES"/>
        </w:rPr>
        <w:t xml:space="preserve">me atrevo a calificar como </w:t>
      </w:r>
      <w:r w:rsidR="007C1949">
        <w:rPr>
          <w:i/>
          <w:lang w:val="es-ES"/>
        </w:rPr>
        <w:t>tremendamente carnal</w:t>
      </w:r>
      <w:r w:rsidR="007C1949">
        <w:rPr>
          <w:lang w:val="es-ES"/>
        </w:rPr>
        <w:t>.</w:t>
      </w:r>
      <w:r w:rsidR="00CE63F2">
        <w:rPr>
          <w:lang w:val="es-ES"/>
        </w:rPr>
        <w:t xml:space="preserve"> </w:t>
      </w:r>
    </w:p>
    <w:p w14:paraId="2DA640BB" w14:textId="6A7DFDA7" w:rsidR="009E5217" w:rsidRDefault="007C1949" w:rsidP="00946E14">
      <w:pPr>
        <w:spacing w:line="360" w:lineRule="auto"/>
        <w:ind w:firstLine="708"/>
        <w:rPr>
          <w:iCs/>
        </w:rPr>
      </w:pPr>
      <w:r>
        <w:rPr>
          <w:lang w:val="es-ES"/>
        </w:rPr>
        <w:t>José Manuel Ciria</w:t>
      </w:r>
      <w:r>
        <w:t xml:space="preserve"> entiende que la pintura</w:t>
      </w:r>
      <w:r w:rsidR="009D072D">
        <w:t xml:space="preserve"> es siempre un </w:t>
      </w:r>
      <w:r w:rsidR="009D072D">
        <w:rPr>
          <w:i/>
        </w:rPr>
        <w:t xml:space="preserve">arte de incorporar. </w:t>
      </w:r>
      <w:r>
        <w:t>Este artista</w:t>
      </w:r>
      <w:r w:rsidR="009D072D">
        <w:t xml:space="preserve">, como los verdaderamente grandes, tiene una “visión devorante”. Hay que recordar la etimología del verbo </w:t>
      </w:r>
      <w:r w:rsidR="009D072D">
        <w:rPr>
          <w:i/>
        </w:rPr>
        <w:t>ver</w:t>
      </w:r>
      <w:r w:rsidR="005E2A31">
        <w:t xml:space="preserve"> que, tal y como advierte </w:t>
      </w:r>
      <w:r w:rsidR="009D072D">
        <w:t>Varrón, se refiere a la fuerza (</w:t>
      </w:r>
      <w:r w:rsidR="009D072D">
        <w:rPr>
          <w:i/>
        </w:rPr>
        <w:t>vis</w:t>
      </w:r>
      <w:r w:rsidR="009D072D">
        <w:t>) y por tanto a la violencia. La pin</w:t>
      </w:r>
      <w:r w:rsidR="007816A1">
        <w:t>tura de Ciria</w:t>
      </w:r>
      <w:r w:rsidR="009D072D">
        <w:t xml:space="preserve"> es auténticamente </w:t>
      </w:r>
      <w:r w:rsidR="009D072D">
        <w:rPr>
          <w:i/>
        </w:rPr>
        <w:lastRenderedPageBreak/>
        <w:t>fulgurante</w:t>
      </w:r>
      <w:r w:rsidR="009D072D" w:rsidRPr="004B5954">
        <w:rPr>
          <w:rStyle w:val="Refdenotaalpie"/>
        </w:rPr>
        <w:footnoteReference w:id="29"/>
      </w:r>
      <w:r w:rsidR="009D072D">
        <w:rPr>
          <w:i/>
        </w:rPr>
        <w:t xml:space="preserve">, </w:t>
      </w:r>
      <w:r w:rsidR="009D072D">
        <w:t>“materia de cosas para la mirada”</w:t>
      </w:r>
      <w:r w:rsidR="009D072D">
        <w:rPr>
          <w:rStyle w:val="Refdenotaalpie"/>
        </w:rPr>
        <w:footnoteReference w:id="30"/>
      </w:r>
      <w:r w:rsidR="009D072D">
        <w:t xml:space="preserve"> que abre un territorio de ensoñación que es intensamente </w:t>
      </w:r>
      <w:r w:rsidR="009D072D">
        <w:rPr>
          <w:i/>
        </w:rPr>
        <w:t>material.</w:t>
      </w:r>
      <w:r w:rsidR="009D072D">
        <w:t xml:space="preserve"> </w:t>
      </w:r>
    </w:p>
    <w:p w14:paraId="4D9430FF" w14:textId="62387095" w:rsidR="008F2848" w:rsidRDefault="007D7CD7" w:rsidP="00946E14">
      <w:pPr>
        <w:spacing w:line="360" w:lineRule="auto"/>
        <w:ind w:firstLine="708"/>
        <w:rPr>
          <w:i/>
          <w:lang w:val="es-ES"/>
        </w:rPr>
      </w:pPr>
      <w:r>
        <w:rPr>
          <w:lang w:val="es-ES"/>
        </w:rPr>
        <w:t>“La abstracción continú</w:t>
      </w:r>
      <w:r w:rsidR="00E43ACC">
        <w:rPr>
          <w:lang w:val="es-ES"/>
        </w:rPr>
        <w:t>a siendo un antídoto o contrahechizo absolutamente necesario para la estética de la distracción, del ruido visual ofrecido por los medios de masa y de la vida cotidiana”</w:t>
      </w:r>
      <w:r w:rsidR="00E43ACC">
        <w:rPr>
          <w:rStyle w:val="Refdenotaalpie"/>
          <w:lang w:val="es-ES"/>
        </w:rPr>
        <w:footnoteReference w:id="31"/>
      </w:r>
      <w:r>
        <w:rPr>
          <w:lang w:val="es-ES"/>
        </w:rPr>
        <w:t>.</w:t>
      </w:r>
      <w:r w:rsidR="008F2848">
        <w:rPr>
          <w:lang w:val="es-ES"/>
        </w:rPr>
        <w:t xml:space="preserve"> Los cuadros de Ciria me hacen disfrutar y también pensar en el </w:t>
      </w:r>
      <w:r w:rsidR="008F2848">
        <w:rPr>
          <w:i/>
          <w:lang w:val="es-ES"/>
        </w:rPr>
        <w:t>carpe diem</w:t>
      </w:r>
      <w:r w:rsidR="008F2848">
        <w:rPr>
          <w:rStyle w:val="Refdenotaalpie"/>
          <w:lang w:val="es-ES"/>
        </w:rPr>
        <w:footnoteReference w:id="32"/>
      </w:r>
      <w:r w:rsidR="008F2848">
        <w:rPr>
          <w:i/>
          <w:lang w:val="es-ES"/>
        </w:rPr>
        <w:t xml:space="preserve">. </w:t>
      </w:r>
      <w:proofErr w:type="spellStart"/>
      <w:r w:rsidR="008F2848">
        <w:rPr>
          <w:lang w:val="es-ES"/>
        </w:rPr>
        <w:t>Julian</w:t>
      </w:r>
      <w:proofErr w:type="spellEnd"/>
      <w:r w:rsidR="008F2848">
        <w:rPr>
          <w:lang w:val="es-ES"/>
        </w:rPr>
        <w:t xml:space="preserve"> Barnes señala que el arte es, tal vez, coger la vida y transformarla, mediante un proceso secreto y fascinante, en otra cosa: “algo relacionado con la vida, pero más potente, más intenso y, preferentemente, más </w:t>
      </w:r>
      <w:r w:rsidR="008F2848">
        <w:rPr>
          <w:lang w:val="es-ES"/>
        </w:rPr>
        <w:lastRenderedPageBreak/>
        <w:t>extraño”</w:t>
      </w:r>
      <w:r w:rsidR="008F2848">
        <w:rPr>
          <w:rStyle w:val="Refdenotaalpie"/>
          <w:lang w:val="es-ES"/>
        </w:rPr>
        <w:footnoteReference w:id="33"/>
      </w:r>
      <w:r w:rsidR="008F2848">
        <w:rPr>
          <w:lang w:val="es-ES"/>
        </w:rPr>
        <w:t xml:space="preserve">. Sin duda, las obras de José Manuel Ciria instaladas en el Restaurante Zalacaín serán, en todos los sentidos, un exquisito </w:t>
      </w:r>
      <w:r w:rsidR="008F2848">
        <w:rPr>
          <w:i/>
          <w:lang w:val="es-ES"/>
        </w:rPr>
        <w:t xml:space="preserve">alimento para la mirada. </w:t>
      </w:r>
    </w:p>
    <w:p w14:paraId="10DE89DE" w14:textId="33E0E33D" w:rsidR="006168C1" w:rsidRDefault="006168C1" w:rsidP="00946E14">
      <w:pPr>
        <w:spacing w:line="360" w:lineRule="auto"/>
        <w:ind w:firstLine="708"/>
      </w:pPr>
      <w:r>
        <w:rPr>
          <w:lang w:val="es-ES"/>
        </w:rPr>
        <w:t xml:space="preserve">Podríamos pensar que el “género” pictórico que más tiene que ver con la actividad de comer es la naturaleza muerta. </w:t>
      </w:r>
      <w:r>
        <w:rPr>
          <w:spacing w:val="-3"/>
        </w:rPr>
        <w:t xml:space="preserve">El pintor de naturalezas muertas es un </w:t>
      </w:r>
      <w:proofErr w:type="spellStart"/>
      <w:r>
        <w:rPr>
          <w:i/>
          <w:iCs/>
          <w:spacing w:val="-3"/>
        </w:rPr>
        <w:t>riparógrafo</w:t>
      </w:r>
      <w:proofErr w:type="spellEnd"/>
      <w:r>
        <w:rPr>
          <w:i/>
          <w:iCs/>
          <w:spacing w:val="-3"/>
        </w:rPr>
        <w:t>,</w:t>
      </w:r>
      <w:r>
        <w:rPr>
          <w:spacing w:val="-3"/>
        </w:rPr>
        <w:t xml:space="preserve"> revela su pasión por las pequeñas cosas, su afán de rescatar lo cotidiano inservible del abandono. Plinio decía que los </w:t>
      </w:r>
      <w:proofErr w:type="spellStart"/>
      <w:r>
        <w:rPr>
          <w:spacing w:val="-3"/>
        </w:rPr>
        <w:t>riparógrafos</w:t>
      </w:r>
      <w:proofErr w:type="spellEnd"/>
      <w:r>
        <w:rPr>
          <w:spacing w:val="-3"/>
        </w:rPr>
        <w:t xml:space="preserve"> se habían vuelto célebres empleando su pincel </w:t>
      </w:r>
      <w:r>
        <w:t xml:space="preserve">“en un género menos elevado” que el de la gran pintura griega, el de la </w:t>
      </w:r>
      <w:proofErr w:type="spellStart"/>
      <w:r>
        <w:rPr>
          <w:i/>
          <w:iCs/>
        </w:rPr>
        <w:t>megalografía</w:t>
      </w:r>
      <w:proofErr w:type="spellEnd"/>
      <w:r>
        <w:rPr>
          <w:i/>
          <w:iCs/>
        </w:rPr>
        <w:t xml:space="preserve"> </w:t>
      </w:r>
      <w:r>
        <w:t xml:space="preserve">griega. “Pero cuando añade que de un cierto </w:t>
      </w:r>
      <w:proofErr w:type="spellStart"/>
      <w:r>
        <w:t>Piraikos</w:t>
      </w:r>
      <w:proofErr w:type="spellEnd"/>
      <w:r>
        <w:t xml:space="preserve">, excelente en esos “temas humildes” y maestro de algún modo entre las </w:t>
      </w:r>
      <w:proofErr w:type="spellStart"/>
      <w:r>
        <w:rPr>
          <w:i/>
          <w:iCs/>
        </w:rPr>
        <w:t>minoris</w:t>
      </w:r>
      <w:proofErr w:type="spellEnd"/>
      <w:r>
        <w:rPr>
          <w:i/>
          <w:iCs/>
        </w:rPr>
        <w:t xml:space="preserve"> </w:t>
      </w:r>
      <w:proofErr w:type="spellStart"/>
      <w:r>
        <w:rPr>
          <w:i/>
          <w:iCs/>
        </w:rPr>
        <w:t>picturae</w:t>
      </w:r>
      <w:proofErr w:type="spellEnd"/>
      <w:r>
        <w:t>, se pueden ver “tiendas de barberos y de zapateros, burros, provisiones de cocina y otras cosas parecidas”, lo que percibimos a través de esta evocación, fundada enteramente en una jerarquía de géneros (tan próxima, en sus desprecios, de la que gobernará las artes europeas en tiempos del clasicismo), es todo el encanto y tal vez toda la clase de fuerza de un Chardin griego del que todo ignoramos”</w:t>
      </w:r>
      <w:r>
        <w:rPr>
          <w:rStyle w:val="Refdenotaalpie"/>
        </w:rPr>
        <w:footnoteReference w:id="34"/>
      </w:r>
      <w:r>
        <w:t xml:space="preserve">. Esa presentación de lo mundano y trivial, estricta </w:t>
      </w:r>
      <w:proofErr w:type="spellStart"/>
      <w:r>
        <w:rPr>
          <w:i/>
          <w:iCs/>
        </w:rPr>
        <w:t>riparografía</w:t>
      </w:r>
      <w:proofErr w:type="spellEnd"/>
      <w:r>
        <w:rPr>
          <w:rStyle w:val="Refdenotaalpie"/>
          <w:i/>
          <w:iCs/>
        </w:rPr>
        <w:footnoteReference w:id="35"/>
      </w:r>
      <w:r>
        <w:rPr>
          <w:i/>
          <w:iCs/>
        </w:rPr>
        <w:t xml:space="preserve">, </w:t>
      </w:r>
      <w:r>
        <w:t xml:space="preserve">puede entenderse como </w:t>
      </w:r>
      <w:r>
        <w:rPr>
          <w:i/>
          <w:iCs/>
        </w:rPr>
        <w:t xml:space="preserve">sedimentación de los deseos </w:t>
      </w:r>
      <w:r>
        <w:t>que, finalmente, se materializa en fascinantes bodegones. El apetito por la comida y el deleite en las sensaciones derivadas del gusto se asocian fundamentalmente al apetito por el sexo y a la viciosa búsqueda de los objetos del deseo. “La naturaleza muerta lleva ventaja a los demás métodos de exhibir virtuosismo manual por apelar a los sencillos placeres de los sentidos”</w:t>
      </w:r>
      <w:r>
        <w:rPr>
          <w:rStyle w:val="Refdenotaalpie"/>
        </w:rPr>
        <w:footnoteReference w:id="36"/>
      </w:r>
      <w:r>
        <w:t>. Schopenhauer clasifica la pintura de naturaleza muerta como una clase de lo encantador, algo que también encuentra en la disposición de un cuerpo desnudo de una forma calculada para desatar el deseo sexual cuando también arrastra la sombra de la tristeza, la alegórica presencia de la muerte.</w:t>
      </w:r>
    </w:p>
    <w:p w14:paraId="5BFB6D5A" w14:textId="6E0BB8BC" w:rsidR="00FA2A9C" w:rsidRPr="006168C1" w:rsidRDefault="00FA2A9C" w:rsidP="00946E14">
      <w:pPr>
        <w:spacing w:line="360" w:lineRule="auto"/>
        <w:ind w:firstLine="708"/>
        <w:rPr>
          <w:lang w:val="es-ES"/>
        </w:rPr>
      </w:pPr>
      <w:r>
        <w:rPr>
          <w:spacing w:val="-3"/>
        </w:rPr>
        <w:lastRenderedPageBreak/>
        <w:t>Históricamente, la vanitas transmite el mensaje moral de la futilidad de los empeños humanos</w:t>
      </w:r>
      <w:r>
        <w:rPr>
          <w:rStyle w:val="Refdenotaalpie"/>
          <w:spacing w:val="-3"/>
        </w:rPr>
        <w:footnoteReference w:id="37"/>
      </w:r>
      <w:r>
        <w:rPr>
          <w:spacing w:val="-3"/>
        </w:rPr>
        <w:t>, la conciencia de la caducidad y la premonición de la muerte</w:t>
      </w:r>
      <w:r>
        <w:rPr>
          <w:rStyle w:val="Refdenotaalpie"/>
          <w:spacing w:val="-3"/>
        </w:rPr>
        <w:footnoteReference w:id="38"/>
      </w:r>
      <w:r>
        <w:rPr>
          <w:spacing w:val="-3"/>
        </w:rPr>
        <w:t>. En alguna medida toda naturaleza muerta lleva incorporado el motivo de la vanitas</w:t>
      </w:r>
      <w:r>
        <w:rPr>
          <w:rStyle w:val="Refdenotaalpie"/>
          <w:spacing w:val="-3"/>
        </w:rPr>
        <w:footnoteReference w:id="39"/>
      </w:r>
      <w:r>
        <w:rPr>
          <w:spacing w:val="-3"/>
        </w:rPr>
        <w:t>, esa presentación, alegórica, de la brevedad de la vida enraizó fácilmente en el sentimiento religioso español en el siglo XVII</w:t>
      </w:r>
      <w:r>
        <w:rPr>
          <w:rStyle w:val="Refdenotaalpie"/>
          <w:spacing w:val="-3"/>
        </w:rPr>
        <w:footnoteReference w:id="40"/>
      </w:r>
      <w:r>
        <w:rPr>
          <w:spacing w:val="-3"/>
        </w:rPr>
        <w:t xml:space="preserve">. La melancolía ve las cosas bajo el prisma de la pérdida, </w:t>
      </w:r>
      <w:r>
        <w:rPr>
          <w:spacing w:val="-3"/>
        </w:rPr>
        <w:lastRenderedPageBreak/>
        <w:t>el desprecio del mundo lleva a la conciencia a la afirmación de la vanidad de todas las cosas. Esa obsesión ante la caducidad y l</w:t>
      </w:r>
      <w:r w:rsidR="00946E14">
        <w:rPr>
          <w:spacing w:val="-3"/>
        </w:rPr>
        <w:t>a</w:t>
      </w:r>
      <w:r>
        <w:rPr>
          <w:spacing w:val="-3"/>
        </w:rPr>
        <w:t xml:space="preserve"> desilusión que se apodera de uno en el mismo instante en que se ha alcanzado el objeto de nuestros deseos "se manifiesta precisamente en la aspiración a la soledad más perfecta y se muestra paradójicamente en el paisaje más idílicamente sereno"</w:t>
      </w:r>
      <w:r>
        <w:rPr>
          <w:rStyle w:val="Refdenotaalpie"/>
          <w:spacing w:val="-3"/>
        </w:rPr>
        <w:footnoteReference w:id="41"/>
      </w:r>
      <w:r>
        <w:rPr>
          <w:spacing w:val="-3"/>
        </w:rPr>
        <w:t>.</w:t>
      </w:r>
    </w:p>
    <w:p w14:paraId="56C5828D" w14:textId="625DE008" w:rsidR="004A0406" w:rsidRPr="004A0406" w:rsidRDefault="00FA2A9C" w:rsidP="00946E14">
      <w:pPr>
        <w:spacing w:line="360" w:lineRule="auto"/>
        <w:ind w:firstLine="708"/>
      </w:pPr>
      <w:r>
        <w:t xml:space="preserve">Ciria no representa los alimentos sobre una mesa, desborda los </w:t>
      </w:r>
      <w:r>
        <w:rPr>
          <w:i/>
        </w:rPr>
        <w:t xml:space="preserve">géneros tradicionales </w:t>
      </w:r>
      <w:r>
        <w:t>y trata de zafarse de las sombras de la melancolía. Tiene experiencia del “naufragio” y ha tenido, como todos, que el</w:t>
      </w:r>
      <w:r w:rsidR="002E2B0F">
        <w:t>aborar el duelo, pero no está</w:t>
      </w:r>
      <w:r>
        <w:t xml:space="preserve"> empeñado en convertirse en el patético vocero de las postrimerías. </w:t>
      </w:r>
      <w:r w:rsidR="008A5C9F">
        <w:t>Su obra s</w:t>
      </w:r>
      <w:r w:rsidR="004A0406">
        <w:t xml:space="preserve">e </w:t>
      </w:r>
      <w:r w:rsidR="004A0406">
        <w:rPr>
          <w:i/>
        </w:rPr>
        <w:t xml:space="preserve">alimenta </w:t>
      </w:r>
      <w:r w:rsidR="004A0406">
        <w:t>de los azares de la existencia, busca, con una energía extrema</w:t>
      </w:r>
      <w:r w:rsidR="00946E14">
        <w:t xml:space="preserve"> y una pulsión barroca</w:t>
      </w:r>
      <w:r w:rsidR="004A0406">
        <w:t xml:space="preserve">, </w:t>
      </w:r>
      <w:r w:rsidR="00946E14">
        <w:t xml:space="preserve">animar nuestra mirada incluso cuando el horizonte solamente presagie lo peor. </w:t>
      </w:r>
    </w:p>
    <w:p w14:paraId="328B4D2B" w14:textId="4AEB9266" w:rsidR="007816A1" w:rsidRDefault="008F2848" w:rsidP="00946E14">
      <w:pPr>
        <w:spacing w:line="360" w:lineRule="auto"/>
        <w:ind w:firstLine="708"/>
        <w:rPr>
          <w:lang w:val="es-ES"/>
        </w:rPr>
      </w:pPr>
      <w:r>
        <w:rPr>
          <w:lang w:val="es-ES"/>
        </w:rPr>
        <w:t xml:space="preserve">Las impresionantes intervenciones que Ciria realizó en el Museo Vostell revelaron, entre otras cosas, la </w:t>
      </w:r>
      <w:r>
        <w:rPr>
          <w:i/>
          <w:lang w:val="es-ES"/>
        </w:rPr>
        <w:t xml:space="preserve">voracidad de su imaginación, </w:t>
      </w:r>
      <w:r>
        <w:rPr>
          <w:lang w:val="es-ES"/>
        </w:rPr>
        <w:t>demostrando que, como el artista alemán, era capaz de sacar partido de cualquier tipo de materialidad</w:t>
      </w:r>
      <w:r w:rsidR="00234FB9" w:rsidRPr="000C2F20">
        <w:rPr>
          <w:rStyle w:val="Refdenotaalpie"/>
        </w:rPr>
        <w:footnoteReference w:id="42"/>
      </w:r>
      <w:r>
        <w:rPr>
          <w:i/>
        </w:rPr>
        <w:t>;</w:t>
      </w:r>
      <w:r w:rsidR="00234FB9">
        <w:rPr>
          <w:i/>
        </w:rPr>
        <w:t xml:space="preserve"> </w:t>
      </w:r>
      <w:r w:rsidR="00234FB9">
        <w:t xml:space="preserve">pero, sobre todo, </w:t>
      </w:r>
      <w:r>
        <w:t xml:space="preserve">lo que </w:t>
      </w:r>
      <w:r w:rsidR="00234FB9">
        <w:t>tienen</w:t>
      </w:r>
      <w:r>
        <w:t xml:space="preserve"> en común Vostell y Ciria es </w:t>
      </w:r>
      <w:r w:rsidR="00234FB9">
        <w:t xml:space="preserve">la voluntad común de </w:t>
      </w:r>
      <w:r w:rsidR="00234FB9">
        <w:rPr>
          <w:i/>
        </w:rPr>
        <w:t xml:space="preserve">encontrar intensidad en la vida, </w:t>
      </w:r>
      <w:r w:rsidR="00234FB9">
        <w:t>esto es, mantener despierta nuestra curiosidad y aprender “como medio para conseguir la continuidad de los flujos energéticos”</w:t>
      </w:r>
      <w:r w:rsidR="00234FB9">
        <w:rPr>
          <w:rStyle w:val="Refdenotaalpie"/>
        </w:rPr>
        <w:footnoteReference w:id="43"/>
      </w:r>
      <w:r w:rsidR="00234FB9">
        <w:t>.</w:t>
      </w:r>
      <w:r>
        <w:rPr>
          <w:lang w:val="es-ES"/>
        </w:rPr>
        <w:t xml:space="preserve"> </w:t>
      </w:r>
      <w:r w:rsidR="00234FB9">
        <w:rPr>
          <w:i/>
        </w:rPr>
        <w:t xml:space="preserve">Sin, Sobre, </w:t>
      </w:r>
      <w:r w:rsidR="00234FB9">
        <w:rPr>
          <w:i/>
        </w:rPr>
        <w:lastRenderedPageBreak/>
        <w:t>Tras (la pintura)</w:t>
      </w:r>
      <w:r>
        <w:rPr>
          <w:i/>
        </w:rPr>
        <w:t xml:space="preserve"> </w:t>
      </w:r>
      <w:r>
        <w:t>(Museo Vostell, 2018)</w:t>
      </w:r>
      <w:r w:rsidR="00234FB9">
        <w:rPr>
          <w:i/>
        </w:rPr>
        <w:t xml:space="preserve"> </w:t>
      </w:r>
      <w:r w:rsidR="00234FB9">
        <w:t xml:space="preserve">fue, en todos los sentidos, un acontecimiento de enorme intensidad, la manifestación prodigiosa de una </w:t>
      </w:r>
      <w:r w:rsidR="00234FB9">
        <w:rPr>
          <w:i/>
        </w:rPr>
        <w:t xml:space="preserve">estética híbrida </w:t>
      </w:r>
      <w:r w:rsidR="00234FB9">
        <w:t xml:space="preserve">o un </w:t>
      </w:r>
      <w:r w:rsidR="00234FB9">
        <w:rPr>
          <w:i/>
        </w:rPr>
        <w:t xml:space="preserve">arte </w:t>
      </w:r>
      <w:proofErr w:type="spellStart"/>
      <w:r w:rsidR="00234FB9">
        <w:rPr>
          <w:i/>
        </w:rPr>
        <w:t>trans-versal</w:t>
      </w:r>
      <w:proofErr w:type="spellEnd"/>
      <w:r w:rsidR="00234FB9">
        <w:t xml:space="preserve"> que no respeta las fronteras disciplinares, entendiendo que lo fundamental es la mezcla y el cruce</w:t>
      </w:r>
      <w:r w:rsidR="00234FB9">
        <w:rPr>
          <w:rStyle w:val="Refdenotaalpie"/>
        </w:rPr>
        <w:footnoteReference w:id="44"/>
      </w:r>
      <w:r w:rsidR="00234FB9">
        <w:t xml:space="preserve">. En última instancia la obra de arte puede entenderse como un </w:t>
      </w:r>
      <w:r w:rsidR="00234FB9">
        <w:rPr>
          <w:i/>
        </w:rPr>
        <w:t>objeto transicional</w:t>
      </w:r>
      <w:r w:rsidR="00234FB9">
        <w:t xml:space="preserve">, algo en lo que están sedimentados los deseos, allí donde laten las </w:t>
      </w:r>
      <w:r>
        <w:t>pulsiones, tanto eróticas como</w:t>
      </w:r>
      <w:r w:rsidR="00234FB9">
        <w:t xml:space="preserve"> destructivas, elementos de un juego imaginativo que, desde la infancia, nos constituye</w:t>
      </w:r>
      <w:r w:rsidR="00234FB9">
        <w:rPr>
          <w:rStyle w:val="Refdenotaalpie"/>
        </w:rPr>
        <w:footnoteReference w:id="45"/>
      </w:r>
      <w:r w:rsidR="00234FB9">
        <w:t xml:space="preserve">. Ciria rescata las </w:t>
      </w:r>
      <w:r w:rsidR="00234FB9">
        <w:rPr>
          <w:i/>
        </w:rPr>
        <w:t xml:space="preserve">preposiciones </w:t>
      </w:r>
      <w:r w:rsidR="00234FB9">
        <w:t xml:space="preserve">cuando propiamente lo que le interesa es </w:t>
      </w:r>
      <w:r w:rsidR="00234FB9">
        <w:rPr>
          <w:i/>
        </w:rPr>
        <w:t xml:space="preserve">localizar o posicionar </w:t>
      </w:r>
      <w:r w:rsidR="00234FB9">
        <w:t xml:space="preserve">la pintura, generando una auténtica </w:t>
      </w:r>
      <w:proofErr w:type="spellStart"/>
      <w:r w:rsidR="00234FB9">
        <w:rPr>
          <w:i/>
        </w:rPr>
        <w:t>caósmosis</w:t>
      </w:r>
      <w:proofErr w:type="spellEnd"/>
      <w:r w:rsidR="00234FB9">
        <w:t>, un imponente despliegue de “lo posible”</w:t>
      </w:r>
      <w:r w:rsidR="00234FB9">
        <w:rPr>
          <w:rStyle w:val="Refdenotaalpie"/>
        </w:rPr>
        <w:footnoteReference w:id="46"/>
      </w:r>
      <w:r w:rsidR="00234FB9">
        <w:t xml:space="preserve">. </w:t>
      </w:r>
    </w:p>
    <w:p w14:paraId="64FA3048" w14:textId="4668859F" w:rsidR="00682007" w:rsidRPr="008F2848" w:rsidRDefault="007816A1" w:rsidP="00946E14">
      <w:pPr>
        <w:spacing w:line="360" w:lineRule="auto"/>
        <w:ind w:firstLine="709"/>
        <w:rPr>
          <w:iCs/>
        </w:rPr>
      </w:pPr>
      <w:r>
        <w:t xml:space="preserve"> </w:t>
      </w:r>
      <w:r w:rsidR="00682007">
        <w:t>“El pintor, en su soledad, sabe que lejos de ser capaz de controlar el cuadro desde fuera, tiene que habitarlo, dejar que éste lo cobije. Trabaja a tientas”</w:t>
      </w:r>
      <w:r w:rsidR="00682007">
        <w:rPr>
          <w:rStyle w:val="Refdenotaalpie"/>
        </w:rPr>
        <w:footnoteReference w:id="47"/>
      </w:r>
      <w:r w:rsidR="00682007">
        <w:t xml:space="preserve">. Lo que toca la pintura o, mejor, aquello a lo que se aproxima es a la figuración de la </w:t>
      </w:r>
      <w:r w:rsidR="00682007">
        <w:rPr>
          <w:i/>
          <w:iCs/>
        </w:rPr>
        <w:t>ausencia</w:t>
      </w:r>
      <w:r w:rsidR="00682007" w:rsidRPr="00DB7E3D">
        <w:rPr>
          <w:rStyle w:val="Refdenotaalpie"/>
          <w:iCs/>
        </w:rPr>
        <w:footnoteReference w:id="48"/>
      </w:r>
      <w:r w:rsidR="00682007">
        <w:rPr>
          <w:i/>
          <w:iCs/>
        </w:rPr>
        <w:t xml:space="preserve">. </w:t>
      </w:r>
      <w:r w:rsidR="00682007">
        <w:t xml:space="preserve">Todo buen cuadro termina por ser algo más que una “imagen simple” o, </w:t>
      </w:r>
      <w:r w:rsidR="00682007">
        <w:lastRenderedPageBreak/>
        <w:t>por decirlo de otro modo, se trata de una realidad que nunca entendemos del todo</w:t>
      </w:r>
      <w:r w:rsidR="00682007">
        <w:rPr>
          <w:rStyle w:val="Refdenotaalpie"/>
        </w:rPr>
        <w:footnoteReference w:id="49"/>
      </w:r>
      <w:r w:rsidR="00682007">
        <w:t>.</w:t>
      </w:r>
      <w:r w:rsidR="009D2AEB">
        <w:t xml:space="preserve"> </w:t>
      </w:r>
      <w:r w:rsidR="008F2848">
        <w:t xml:space="preserve">Acaso el misterio o incluso </w:t>
      </w:r>
      <w:r w:rsidR="008F2848">
        <w:rPr>
          <w:i/>
        </w:rPr>
        <w:t xml:space="preserve">la cocina de la pintura </w:t>
      </w:r>
      <w:r w:rsidR="008F2848">
        <w:t xml:space="preserve">tenga las cualidades de los aromas, la emocionada memoria de los sabores, la justa apreciación de la maestría y, por supuesto, la necesidad de establecer una conversación con algo que nos fascina. Los intensos cuadros de Ciria en el Restaurante Zalacaín nos invitan </w:t>
      </w:r>
      <w:r w:rsidR="008A5C9F">
        <w:t xml:space="preserve">a </w:t>
      </w:r>
      <w:r w:rsidR="008F2848">
        <w:t xml:space="preserve">intensificar nuestra vida, encontrando en esas </w:t>
      </w:r>
      <w:r w:rsidR="008F2848">
        <w:rPr>
          <w:i/>
        </w:rPr>
        <w:t xml:space="preserve">estancias en las que somos comensales </w:t>
      </w:r>
      <w:r w:rsidR="008F2848">
        <w:t>la oportunidad para que se produzca una maravillosa experiencia estética.</w:t>
      </w:r>
      <w:r w:rsidR="006168C1">
        <w:t xml:space="preserve"> Dalí no siempre carecía de razón: </w:t>
      </w:r>
      <w:r w:rsidR="006168C1">
        <w:rPr>
          <w:i/>
          <w:iCs/>
        </w:rPr>
        <w:t>la pintura será comestible o no será</w:t>
      </w:r>
      <w:r w:rsidR="006168C1" w:rsidRPr="00946E14">
        <w:rPr>
          <w:rStyle w:val="Refdenotaalpie"/>
          <w:iCs/>
        </w:rPr>
        <w:footnoteReference w:id="50"/>
      </w:r>
      <w:r w:rsidR="006168C1" w:rsidRPr="00946E14">
        <w:t>.</w:t>
      </w:r>
    </w:p>
    <w:p w14:paraId="1904E72B" w14:textId="77777777" w:rsidR="007816A1" w:rsidRDefault="007816A1" w:rsidP="00946E14">
      <w:pPr>
        <w:spacing w:line="360" w:lineRule="auto"/>
        <w:ind w:firstLine="709"/>
      </w:pPr>
    </w:p>
    <w:p w14:paraId="6C252D8B" w14:textId="77777777" w:rsidR="007816A1" w:rsidRDefault="007816A1" w:rsidP="00946E14">
      <w:pPr>
        <w:spacing w:line="360" w:lineRule="auto"/>
        <w:ind w:firstLine="709"/>
      </w:pPr>
    </w:p>
    <w:p w14:paraId="69510DED" w14:textId="77777777" w:rsidR="007816A1" w:rsidRDefault="007816A1" w:rsidP="00946E14">
      <w:pPr>
        <w:spacing w:line="360" w:lineRule="auto"/>
        <w:ind w:firstLine="709"/>
      </w:pPr>
    </w:p>
    <w:p w14:paraId="6590349B" w14:textId="77777777" w:rsidR="007816A1" w:rsidRDefault="007816A1" w:rsidP="00946E14">
      <w:pPr>
        <w:spacing w:line="360" w:lineRule="auto"/>
        <w:ind w:firstLine="709"/>
      </w:pPr>
    </w:p>
    <w:p w14:paraId="683F13A5" w14:textId="77777777" w:rsidR="007816A1" w:rsidRDefault="007816A1" w:rsidP="00946E14">
      <w:pPr>
        <w:spacing w:line="360" w:lineRule="auto"/>
        <w:ind w:firstLine="709"/>
      </w:pPr>
    </w:p>
    <w:p w14:paraId="56E18C03" w14:textId="77777777" w:rsidR="007816A1" w:rsidRDefault="007816A1" w:rsidP="00946E14">
      <w:pPr>
        <w:spacing w:line="360" w:lineRule="auto"/>
        <w:ind w:firstLine="709"/>
      </w:pPr>
    </w:p>
    <w:p w14:paraId="25C53E96" w14:textId="77777777" w:rsidR="007816A1" w:rsidRDefault="007816A1" w:rsidP="00946E14">
      <w:pPr>
        <w:spacing w:line="360" w:lineRule="auto"/>
        <w:ind w:firstLine="709"/>
      </w:pPr>
    </w:p>
    <w:p w14:paraId="2A159CA5" w14:textId="77777777" w:rsidR="007816A1" w:rsidRDefault="007816A1" w:rsidP="00B40DC9">
      <w:pPr>
        <w:spacing w:line="360" w:lineRule="auto"/>
      </w:pPr>
    </w:p>
    <w:p w14:paraId="1A27294E" w14:textId="77777777" w:rsidR="007816A1" w:rsidRDefault="007816A1" w:rsidP="00946E14">
      <w:pPr>
        <w:spacing w:line="360" w:lineRule="auto"/>
        <w:ind w:firstLine="709"/>
      </w:pPr>
    </w:p>
    <w:p w14:paraId="1C7031B5" w14:textId="77777777" w:rsidR="007816A1" w:rsidRDefault="007816A1" w:rsidP="00B40DC9">
      <w:pPr>
        <w:spacing w:line="360" w:lineRule="auto"/>
      </w:pPr>
    </w:p>
    <w:p w14:paraId="23E708B4" w14:textId="77777777" w:rsidR="00EC2467" w:rsidRPr="004C63BD" w:rsidRDefault="00EC2467" w:rsidP="00946E14">
      <w:pPr>
        <w:spacing w:line="360" w:lineRule="auto"/>
        <w:rPr>
          <w:lang w:val="es-ES"/>
        </w:rPr>
      </w:pPr>
    </w:p>
    <w:sectPr w:rsidR="00EC2467" w:rsidRPr="004C63BD" w:rsidSect="00703560">
      <w:footerReference w:type="even" r:id="rId6"/>
      <w:footerReference w:type="default" r:id="rId7"/>
      <w:pgSz w:w="11900" w:h="16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CEBC8D" w14:textId="77777777" w:rsidR="00151A16" w:rsidRDefault="00151A16" w:rsidP="00FD6E5F">
      <w:r>
        <w:separator/>
      </w:r>
    </w:p>
  </w:endnote>
  <w:endnote w:type="continuationSeparator" w:id="0">
    <w:p w14:paraId="4B1B63CB" w14:textId="77777777" w:rsidR="00151A16" w:rsidRDefault="00151A16" w:rsidP="00FD6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537F1" w14:textId="77777777" w:rsidR="005D7209" w:rsidRDefault="005D7209" w:rsidP="008F2C16">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628E2959" w14:textId="77777777" w:rsidR="005D7209" w:rsidRDefault="005D7209">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67A8B" w14:textId="77777777" w:rsidR="005D7209" w:rsidRDefault="005D7209" w:rsidP="008F2C16">
    <w:pPr>
      <w:pStyle w:val="Piedepgina"/>
      <w:framePr w:wrap="none"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37694D">
      <w:rPr>
        <w:rStyle w:val="Nmerodepgina"/>
        <w:noProof/>
      </w:rPr>
      <w:t>16</w:t>
    </w:r>
    <w:r>
      <w:rPr>
        <w:rStyle w:val="Nmerodepgina"/>
      </w:rPr>
      <w:fldChar w:fldCharType="end"/>
    </w:r>
  </w:p>
  <w:p w14:paraId="673795B0" w14:textId="77777777" w:rsidR="005D7209" w:rsidRDefault="005D720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ECCA58" w14:textId="77777777" w:rsidR="00151A16" w:rsidRDefault="00151A16" w:rsidP="00FD6E5F">
      <w:r>
        <w:separator/>
      </w:r>
    </w:p>
  </w:footnote>
  <w:footnote w:type="continuationSeparator" w:id="0">
    <w:p w14:paraId="7056BB3F" w14:textId="77777777" w:rsidR="00151A16" w:rsidRDefault="00151A16" w:rsidP="00FD6E5F">
      <w:r>
        <w:continuationSeparator/>
      </w:r>
    </w:p>
  </w:footnote>
  <w:footnote w:id="1">
    <w:p w14:paraId="085C88AE" w14:textId="0B0ED263" w:rsidR="005D7209" w:rsidRPr="0007368E" w:rsidRDefault="005D7209">
      <w:pPr>
        <w:pStyle w:val="Textonotapie"/>
      </w:pPr>
      <w:r>
        <w:rPr>
          <w:rStyle w:val="Refdenotaalpie"/>
        </w:rPr>
        <w:footnoteRef/>
      </w:r>
      <w:r>
        <w:t xml:space="preserve"> </w:t>
      </w:r>
      <w:proofErr w:type="spellStart"/>
      <w:r>
        <w:rPr>
          <w:lang w:val="es-ES"/>
        </w:rPr>
        <w:t>Julian</w:t>
      </w:r>
      <w:proofErr w:type="spellEnd"/>
      <w:r>
        <w:rPr>
          <w:lang w:val="es-ES"/>
        </w:rPr>
        <w:t xml:space="preserve"> Barnes: </w:t>
      </w:r>
      <w:r>
        <w:rPr>
          <w:i/>
          <w:lang w:val="es-ES"/>
        </w:rPr>
        <w:t xml:space="preserve">Con los ojos bien abiertos. Ensayos sobre arte, </w:t>
      </w:r>
      <w:r>
        <w:rPr>
          <w:lang w:val="es-ES"/>
        </w:rPr>
        <w:t>Ed. Anagrama, Barcelona, 2018, p. 19.</w:t>
      </w:r>
    </w:p>
  </w:footnote>
  <w:footnote w:id="2">
    <w:p w14:paraId="7950DA39" w14:textId="60AC66F3" w:rsidR="005D7209" w:rsidRPr="0007368E" w:rsidRDefault="005D7209">
      <w:pPr>
        <w:pStyle w:val="Textonotapie"/>
      </w:pPr>
      <w:r>
        <w:rPr>
          <w:rStyle w:val="Refdenotaalpie"/>
        </w:rPr>
        <w:footnoteRef/>
      </w:r>
      <w:r>
        <w:t xml:space="preserve"> “Flaubert creía que era imposible explicar una forma de expresión artística usando términos ajenos a esa forma y que las grandes pinturas no necesitan ser explicadas mediante palabras. Braque sostenía que un cuadro, alcanzaba su estado ideal cuando no se decía nada al observarlo. Pero estamos muy lejos de alcanzar tal estado. Continuamos siendo unas criaturas irremediablemente locuaces a las que les encanta explicar las cosas, expresar opiniones, discutir. Nos ponen ante un cuadro y hablamos, cada uno a nuestro modo. Cuando Proust visitaba una exposición, le gustaba comentar los parecidos que encontraba entre los personajes de los cuadros y la gente que conocía en la vida real, algo que probablemente fuese un hábil recurso para evitar una confrontación estética directa. Pero raro es el cuadro que nos deje anonadados o impactados hasta el punto de sumirnos en un profundo silencio. Y si lo hace, es solo durante un breve instante antes de que queramos explicar y comprender ese silencio que nos ha sobrevenido” (</w:t>
      </w:r>
      <w:proofErr w:type="spellStart"/>
      <w:r>
        <w:rPr>
          <w:lang w:val="es-ES"/>
        </w:rPr>
        <w:t>Julian</w:t>
      </w:r>
      <w:proofErr w:type="spellEnd"/>
      <w:r>
        <w:rPr>
          <w:lang w:val="es-ES"/>
        </w:rPr>
        <w:t xml:space="preserve"> Barnes: </w:t>
      </w:r>
      <w:r>
        <w:rPr>
          <w:i/>
          <w:lang w:val="es-ES"/>
        </w:rPr>
        <w:t xml:space="preserve">Con los ojos bien abiertos. Ensayos sobre arte, </w:t>
      </w:r>
      <w:r>
        <w:rPr>
          <w:lang w:val="es-ES"/>
        </w:rPr>
        <w:t>Ed. Anagrama, Barcelona, 2018, p. 17).</w:t>
      </w:r>
    </w:p>
  </w:footnote>
  <w:footnote w:id="3">
    <w:p w14:paraId="2F8921E9" w14:textId="3B4B3931" w:rsidR="005D7209" w:rsidRPr="005E12E6" w:rsidRDefault="005D7209">
      <w:pPr>
        <w:pStyle w:val="Textonotapie"/>
      </w:pPr>
      <w:r>
        <w:rPr>
          <w:rStyle w:val="Refdenotaalpie"/>
        </w:rPr>
        <w:footnoteRef/>
      </w:r>
      <w:r>
        <w:t xml:space="preserve"> “Lo que nos levanta son nuestros deseos, por supuesto. Pero, ¿por qué están abocados nuestros deseos a exasperarse en el levantamiento? ¿Por qué no esperar tranquilamente a que llegue la satisfacción esperada? ¿Por qué nuestros deseos se despliegan casi siempre en el elemento de la ruptura, del forzar los límites y de una inquietud tan viva que se la diría </w:t>
      </w:r>
      <w:r>
        <w:rPr>
          <w:i/>
        </w:rPr>
        <w:t>trágica</w:t>
      </w:r>
      <w:r>
        <w:t>? Porque lo que nos levanta se saca –se separa</w:t>
      </w:r>
      <w:r>
        <w:rPr>
          <w:lang w:val="es-ES"/>
        </w:rPr>
        <w:t>–</w:t>
      </w:r>
      <w:r>
        <w:t xml:space="preserve"> del fondo de un dolor inextinguible que es su terreno de nacimiento, su medio originario. A ese medio originario, escribía Georg Simmel, el hombre “se sustrae y a él se opone” a través de un “riesgo trágico” al que quiso denominar, simplemente, la </w:t>
      </w:r>
      <w:r>
        <w:rPr>
          <w:i/>
        </w:rPr>
        <w:t>cultura</w:t>
      </w:r>
      <w:r>
        <w:t>” (Georges Didi-</w:t>
      </w:r>
      <w:proofErr w:type="spellStart"/>
      <w:r>
        <w:t>Huberman</w:t>
      </w:r>
      <w:proofErr w:type="spellEnd"/>
      <w:r>
        <w:t xml:space="preserve">: </w:t>
      </w:r>
      <w:r>
        <w:rPr>
          <w:i/>
        </w:rPr>
        <w:t xml:space="preserve">Desear desobedecer. Lo que nos levanta, 1, </w:t>
      </w:r>
      <w:r>
        <w:t>Ed. Abada, Madrid, 2020, p. 35).</w:t>
      </w:r>
    </w:p>
  </w:footnote>
  <w:footnote w:id="4">
    <w:p w14:paraId="44AD65BF" w14:textId="28E44C8C" w:rsidR="005D7209" w:rsidRPr="00FD6E5F" w:rsidRDefault="005D7209">
      <w:pPr>
        <w:pStyle w:val="Textonotapie"/>
        <w:rPr>
          <w:lang w:val="es-ES"/>
        </w:rPr>
      </w:pPr>
      <w:r>
        <w:rPr>
          <w:rStyle w:val="Refdenotaalpie"/>
        </w:rPr>
        <w:footnoteRef/>
      </w:r>
      <w:r>
        <w:t xml:space="preserve"> </w:t>
      </w:r>
      <w:r>
        <w:rPr>
          <w:lang w:val="es-ES"/>
        </w:rPr>
        <w:t xml:space="preserve">“La abstracción es la principal tendencia del último siglo en el terreno del arte, el lenguaje y la economía. La abstracción puede definirse como la extracción mental de un concepto a partir de una serie de experiencias reales, pero también puede definirse como la separación entre la dinámica conceptual y los procesos corporales” (Franco </w:t>
      </w:r>
      <w:proofErr w:type="spellStart"/>
      <w:r>
        <w:rPr>
          <w:lang w:val="es-ES"/>
        </w:rPr>
        <w:t>Bifo</w:t>
      </w:r>
      <w:proofErr w:type="spellEnd"/>
      <w:r>
        <w:rPr>
          <w:lang w:val="es-ES"/>
        </w:rPr>
        <w:t xml:space="preserve"> Berardi: “¿Hay vida más allá del dinero?” en Mauro Reis (</w:t>
      </w:r>
      <w:proofErr w:type="spellStart"/>
      <w:r>
        <w:rPr>
          <w:lang w:val="es-ES"/>
        </w:rPr>
        <w:t>comp.</w:t>
      </w:r>
      <w:proofErr w:type="spellEnd"/>
      <w:r>
        <w:rPr>
          <w:lang w:val="es-ES"/>
        </w:rPr>
        <w:t xml:space="preserve">): </w:t>
      </w:r>
      <w:proofErr w:type="spellStart"/>
      <w:r>
        <w:rPr>
          <w:i/>
          <w:lang w:val="es-ES"/>
        </w:rPr>
        <w:t>Neo-operaísmo</w:t>
      </w:r>
      <w:proofErr w:type="spellEnd"/>
      <w:r>
        <w:rPr>
          <w:i/>
          <w:lang w:val="es-ES"/>
        </w:rPr>
        <w:t xml:space="preserve">, </w:t>
      </w:r>
      <w:r>
        <w:rPr>
          <w:lang w:val="es-ES"/>
        </w:rPr>
        <w:t>Ed. Caja Negra, Buenos Aires, 2020, p. 216).</w:t>
      </w:r>
    </w:p>
  </w:footnote>
  <w:footnote w:id="5">
    <w:p w14:paraId="382F699D" w14:textId="35FC6B4D" w:rsidR="005D7209" w:rsidRPr="005D4CFE" w:rsidRDefault="005D7209">
      <w:pPr>
        <w:pStyle w:val="Textonotapie"/>
      </w:pPr>
      <w:r>
        <w:rPr>
          <w:rStyle w:val="Refdenotaalpie"/>
        </w:rPr>
        <w:footnoteRef/>
      </w:r>
      <w:r>
        <w:t xml:space="preserve"> W. J.T. Mitchell: </w:t>
      </w:r>
      <w:r>
        <w:rPr>
          <w:i/>
        </w:rPr>
        <w:t xml:space="preserve">¿Qué quieren las imágenes? Una crítica de la cultura visual, </w:t>
      </w:r>
      <w:r>
        <w:t xml:space="preserve">Ed. Sans </w:t>
      </w:r>
      <w:proofErr w:type="spellStart"/>
      <w:r>
        <w:t>Soleil</w:t>
      </w:r>
      <w:proofErr w:type="spellEnd"/>
      <w:r>
        <w:t>, Bilbao, 2017, p. 281.</w:t>
      </w:r>
    </w:p>
  </w:footnote>
  <w:footnote w:id="6">
    <w:p w14:paraId="023646FB" w14:textId="1E82005A" w:rsidR="005D7209" w:rsidRPr="0051230B" w:rsidRDefault="005D7209">
      <w:pPr>
        <w:pStyle w:val="Textonotapie"/>
      </w:pPr>
      <w:r>
        <w:rPr>
          <w:rStyle w:val="Refdenotaalpie"/>
        </w:rPr>
        <w:footnoteRef/>
      </w:r>
      <w:r>
        <w:t xml:space="preserve"> </w:t>
      </w:r>
      <w:proofErr w:type="spellStart"/>
      <w:r>
        <w:t>Yve</w:t>
      </w:r>
      <w:proofErr w:type="spellEnd"/>
      <w:r>
        <w:t xml:space="preserve">-Alain Bois argumenta que la insistencia moderna en la “materialidad” y en la “integridad” del medio (el argumento canónico </w:t>
      </w:r>
      <w:proofErr w:type="spellStart"/>
      <w:r>
        <w:t>greenbergiano</w:t>
      </w:r>
      <w:proofErr w:type="spellEnd"/>
      <w:r>
        <w:t>) era “un intento deliberado de liberar al arte de su contaminación de las formas de intercambio producidas por el capitalismo. El arte tenía que ser separado ontológicamente no sólo de lo mecánico, sino también del ámbito de la información” (</w:t>
      </w:r>
      <w:proofErr w:type="spellStart"/>
      <w:r>
        <w:t>Yve</w:t>
      </w:r>
      <w:proofErr w:type="spellEnd"/>
      <w:r>
        <w:t>-Alain Bois: “</w:t>
      </w:r>
      <w:proofErr w:type="spellStart"/>
      <w:r>
        <w:t>Painting</w:t>
      </w:r>
      <w:proofErr w:type="spellEnd"/>
      <w:r>
        <w:t xml:space="preserve">: </w:t>
      </w:r>
      <w:proofErr w:type="spellStart"/>
      <w:r>
        <w:t>The</w:t>
      </w:r>
      <w:proofErr w:type="spellEnd"/>
      <w:r>
        <w:t xml:space="preserve"> </w:t>
      </w:r>
      <w:proofErr w:type="spellStart"/>
      <w:r>
        <w:t>Task</w:t>
      </w:r>
      <w:proofErr w:type="spellEnd"/>
      <w:r>
        <w:t xml:space="preserve"> </w:t>
      </w:r>
      <w:proofErr w:type="spellStart"/>
      <w:r>
        <w:t>of</w:t>
      </w:r>
      <w:proofErr w:type="spellEnd"/>
      <w:r>
        <w:t xml:space="preserve"> </w:t>
      </w:r>
      <w:proofErr w:type="spellStart"/>
      <w:r>
        <w:t>Mourning</w:t>
      </w:r>
      <w:proofErr w:type="spellEnd"/>
      <w:r>
        <w:t xml:space="preserve">” en </w:t>
      </w:r>
      <w:proofErr w:type="spellStart"/>
      <w:r>
        <w:rPr>
          <w:i/>
        </w:rPr>
        <w:t>Painting</w:t>
      </w:r>
      <w:proofErr w:type="spellEnd"/>
      <w:r>
        <w:rPr>
          <w:i/>
        </w:rPr>
        <w:t xml:space="preserve"> as </w:t>
      </w:r>
      <w:proofErr w:type="spellStart"/>
      <w:r>
        <w:rPr>
          <w:i/>
        </w:rPr>
        <w:t>Model</w:t>
      </w:r>
      <w:proofErr w:type="spellEnd"/>
      <w:r>
        <w:rPr>
          <w:i/>
        </w:rPr>
        <w:t xml:space="preserve">, </w:t>
      </w:r>
      <w:r>
        <w:t xml:space="preserve">MIT </w:t>
      </w:r>
      <w:proofErr w:type="spellStart"/>
      <w:r>
        <w:t>Press</w:t>
      </w:r>
      <w:proofErr w:type="spellEnd"/>
      <w:r>
        <w:t>, Cambridge, 1993, p. 235).</w:t>
      </w:r>
    </w:p>
  </w:footnote>
  <w:footnote w:id="7">
    <w:p w14:paraId="4B252EDF" w14:textId="77777777" w:rsidR="005D7209" w:rsidRPr="00CE06B8" w:rsidRDefault="005D7209">
      <w:pPr>
        <w:pStyle w:val="Textonotapie"/>
      </w:pPr>
      <w:r>
        <w:rPr>
          <w:rStyle w:val="Refdenotaalpie"/>
        </w:rPr>
        <w:footnoteRef/>
      </w:r>
      <w:r>
        <w:t xml:space="preserve"> “El artista no le da sentido al mundo, pero lo revuelve en una confusión más perfecta: un rostro, un cuerpo, un misterio. El verdadero estilo artístico es una cuestión de “discrepancia”, por usar la misma palabra que Max Horkheimer y Theodor Adorno en 1944: una concesión a lo raro y ajeno entre lo que, de lo contrario, no sería más que una mezcla estética demasiado segura. Los surcos de una traslación meticulosa y fluida han de ser, al mismo tiempo y según Adorno, las “fisuras que se producen en el proceso de integración”” (Alexander </w:t>
      </w:r>
      <w:proofErr w:type="spellStart"/>
      <w:r>
        <w:t>Nemerov</w:t>
      </w:r>
      <w:proofErr w:type="spellEnd"/>
      <w:r>
        <w:t xml:space="preserve">: “El vuelo de la forma: Auden, </w:t>
      </w:r>
      <w:proofErr w:type="spellStart"/>
      <w:r>
        <w:t>Bruegel</w:t>
      </w:r>
      <w:proofErr w:type="spellEnd"/>
      <w:r>
        <w:t xml:space="preserve"> y el giro abstracto de la década de 1940” en </w:t>
      </w:r>
      <w:r>
        <w:rPr>
          <w:i/>
        </w:rPr>
        <w:t xml:space="preserve">El vuelo de la forma, </w:t>
      </w:r>
      <w:r>
        <w:t>Ed. Mudito &amp; Co, Barcelona, 2017, p. 125).</w:t>
      </w:r>
    </w:p>
  </w:footnote>
  <w:footnote w:id="8">
    <w:p w14:paraId="68C2ED82" w14:textId="676E55C7" w:rsidR="005D7209" w:rsidRPr="00022BC9" w:rsidRDefault="005D7209" w:rsidP="000452B7">
      <w:pPr>
        <w:pStyle w:val="Textonotapie"/>
      </w:pPr>
      <w:r>
        <w:rPr>
          <w:rStyle w:val="Refdenotaalpie"/>
        </w:rPr>
        <w:footnoteRef/>
      </w:r>
      <w:r>
        <w:t xml:space="preserve"> “Pensando en mi propia obra, repentinamente me enfrenté con el espejo y me preguntaba </w:t>
      </w:r>
      <w:r>
        <w:rPr>
          <w:lang w:val="es-ES"/>
        </w:rPr>
        <w:t>–</w:t>
      </w:r>
      <w:r>
        <w:t>¿cómo se acercarán los hermeneutas, historiadores y curiosos cuando yo no esté?</w:t>
      </w:r>
      <w:r>
        <w:rPr>
          <w:lang w:val="es-ES"/>
        </w:rPr>
        <w:t>–</w:t>
      </w:r>
      <w:r>
        <w:t xml:space="preserve">. En presente, </w:t>
      </w:r>
      <w:r>
        <w:rPr>
          <w:lang w:val="es-ES"/>
        </w:rPr>
        <w:t>–</w:t>
      </w:r>
      <w:r>
        <w:t>¿qué ideas y cosas, y cuántas habitan en mi esfera creativa?</w:t>
      </w:r>
      <w:r>
        <w:rPr>
          <w:lang w:val="es-ES"/>
        </w:rPr>
        <w:t>–</w:t>
      </w:r>
      <w:r>
        <w:t xml:space="preserve">. Quizá tenga demasiados intereses, es posible que no pueda o sepa “contenerme”, acaso me aburra inmensamente volver a pintar el cuadro que se pintar, o que mi existencia me lleva constantemente a la experimentación y la búsqueda, a cambiar y retornar, para volver a cambiar y de nuevo regresar. Cuanto agradezco a Dios que no me hiciera virtuoso, dotado de la fórmula mágica y en posesión total de la única verdad” (José Manuel Ciria: </w:t>
      </w:r>
      <w:r>
        <w:rPr>
          <w:i/>
        </w:rPr>
        <w:t xml:space="preserve">Ideas, apropiaciones, fuentes, experimentos, cosas, figuras, casualidades, fosfenos, </w:t>
      </w:r>
      <w:r>
        <w:t xml:space="preserve">Ed. </w:t>
      </w:r>
      <w:r w:rsidRPr="00022BC9">
        <w:t xml:space="preserve">Cobas </w:t>
      </w:r>
      <w:proofErr w:type="spellStart"/>
      <w:r w:rsidRPr="00022BC9">
        <w:t>Asset</w:t>
      </w:r>
      <w:proofErr w:type="spellEnd"/>
      <w:r w:rsidRPr="00022BC9">
        <w:t xml:space="preserve"> Management &amp; </w:t>
      </w:r>
      <w:proofErr w:type="spellStart"/>
      <w:r w:rsidRPr="00022BC9">
        <w:t>Value</w:t>
      </w:r>
      <w:proofErr w:type="spellEnd"/>
      <w:r w:rsidRPr="00022BC9">
        <w:t xml:space="preserve"> </w:t>
      </w:r>
      <w:proofErr w:type="spellStart"/>
      <w:r w:rsidRPr="00022BC9">
        <w:t>School</w:t>
      </w:r>
      <w:proofErr w:type="spellEnd"/>
      <w:r w:rsidRPr="00022BC9">
        <w:t>, Madrid, 2017).</w:t>
      </w:r>
    </w:p>
  </w:footnote>
  <w:footnote w:id="9">
    <w:p w14:paraId="7410CD00" w14:textId="1D894D94" w:rsidR="005D7209" w:rsidRPr="000675DE" w:rsidRDefault="005D7209" w:rsidP="00E94B1D">
      <w:pPr>
        <w:pStyle w:val="Textonotapie"/>
      </w:pPr>
      <w:r>
        <w:rPr>
          <w:rStyle w:val="Refdenotaalpie"/>
        </w:rPr>
        <w:footnoteRef/>
      </w:r>
      <w:r>
        <w:t xml:space="preserve"> “</w:t>
      </w:r>
      <w:r>
        <w:rPr>
          <w:i/>
        </w:rPr>
        <w:t xml:space="preserve">Precipitado </w:t>
      </w:r>
      <w:r>
        <w:t xml:space="preserve">es un término tomado de Jacques Derrida. Con un solo pronunciamiento de la palabra nos damos cuenta que porta en ella toda la paradoja de un tiempo breve, crítico o explosivo, que adviene en el vacío de un tiempo largo, de un tiempo en el que la memoria </w:t>
      </w:r>
      <w:r>
        <w:rPr>
          <w:i/>
        </w:rPr>
        <w:t xml:space="preserve">deposita </w:t>
      </w:r>
      <w:r>
        <w:t xml:space="preserve">para que por fin el deseo </w:t>
      </w:r>
      <w:r>
        <w:rPr>
          <w:i/>
        </w:rPr>
        <w:t>explote</w:t>
      </w:r>
      <w:r>
        <w:t>” (Georges Didi-</w:t>
      </w:r>
      <w:proofErr w:type="spellStart"/>
      <w:r>
        <w:t>Huberman</w:t>
      </w:r>
      <w:proofErr w:type="spellEnd"/>
      <w:r>
        <w:t xml:space="preserve">: </w:t>
      </w:r>
      <w:r>
        <w:rPr>
          <w:i/>
        </w:rPr>
        <w:t xml:space="preserve">Desear desobedecer. Lo que nos levanta, 1, </w:t>
      </w:r>
      <w:r>
        <w:t>Ed. Abada, Madrid, 2020, p. 177).</w:t>
      </w:r>
    </w:p>
  </w:footnote>
  <w:footnote w:id="10">
    <w:p w14:paraId="1E4A8CC6" w14:textId="3C808216" w:rsidR="005D7209" w:rsidRPr="00684B0D" w:rsidRDefault="005D7209">
      <w:pPr>
        <w:pStyle w:val="Textonotapie"/>
      </w:pPr>
      <w:r>
        <w:rPr>
          <w:rStyle w:val="Refdenotaalpie"/>
        </w:rPr>
        <w:footnoteRef/>
      </w:r>
      <w:r>
        <w:t xml:space="preserve"> “Este juego del color que se realiza más allá de la imitación de la naturaleza, lo puso el artista inglés Alexander </w:t>
      </w:r>
      <w:proofErr w:type="spellStart"/>
      <w:r>
        <w:t>Cozens</w:t>
      </w:r>
      <w:proofErr w:type="spellEnd"/>
      <w:r>
        <w:t xml:space="preserve"> en el centro de su </w:t>
      </w:r>
      <w:r>
        <w:rPr>
          <w:i/>
        </w:rPr>
        <w:t xml:space="preserve">New </w:t>
      </w:r>
      <w:proofErr w:type="spellStart"/>
      <w:r>
        <w:rPr>
          <w:i/>
        </w:rPr>
        <w:t>Method</w:t>
      </w:r>
      <w:proofErr w:type="spellEnd"/>
      <w:r>
        <w:rPr>
          <w:i/>
        </w:rPr>
        <w:t xml:space="preserve"> </w:t>
      </w:r>
      <w:r>
        <w:t xml:space="preserve">que elaboró en los años 1785-1786. Fruto de estas reflexiones y experimentos fueron una serie de acuarelas que, a partir de las manchas de color indeterminadas y en gran parte casuales de los llamados </w:t>
      </w:r>
      <w:proofErr w:type="spellStart"/>
      <w:r>
        <w:rPr>
          <w:i/>
        </w:rPr>
        <w:t>blots</w:t>
      </w:r>
      <w:proofErr w:type="spellEnd"/>
      <w:r>
        <w:rPr>
          <w:i/>
        </w:rPr>
        <w:t xml:space="preserve">, </w:t>
      </w:r>
      <w:r>
        <w:t xml:space="preserve">generaban paisajes abstractos. Para realzar la autoactividad del color, </w:t>
      </w:r>
      <w:proofErr w:type="spellStart"/>
      <w:r>
        <w:t>Cozens</w:t>
      </w:r>
      <w:proofErr w:type="spellEnd"/>
      <w:r>
        <w:t xml:space="preserve"> arrugó primero y alisó después la hoja con </w:t>
      </w:r>
      <w:r>
        <w:rPr>
          <w:i/>
        </w:rPr>
        <w:t>Aníbal cruzando los Alpes</w:t>
      </w:r>
      <w:r>
        <w:t xml:space="preserve">, de alrededor de 1776, para que así hablase el propio trabajo del soporte. En China, estas técnicas no intencionadas, a menudo practicadas en estado de embriaguez, que convirtieron al artista en el órgano de una energía formal independiente de él, acabaron formando escuela. Así se dice, en un estilo como de informe de laboratorio, sobre la práctica de las aguadas de Wang </w:t>
      </w:r>
      <w:proofErr w:type="spellStart"/>
      <w:r>
        <w:t>P´o-mo</w:t>
      </w:r>
      <w:proofErr w:type="spellEnd"/>
      <w:r>
        <w:t xml:space="preserve">: “Cuando Wang estaba preparado para pintar un rollo, comenzaría a beber, y una vez ebrio, salpicaría tinta sobre la seda, riendo y cantando todo el tiempo. Luego la pisaría con los pies o la untaría con la mano, la extendería y la restregaría con su pincel, aquí con tinta clara y allá con tinta oscura, y de las configuraciones así conseguidas emergerían montañas, rocas, nubes y ríos”. Esta tradición, con sus diferentes raíces, se convirtió asimismo en uno de los factores determinantes de la modernidad. Su influencia, por ejemplo, ha sido subrayada continuamente en el caso de John Cage, incluso por el mismo artista. Lo mismo se puede decir de Jackson Pollock. Su reflexión sobre la acción como un medio de energía existente en el arte se acercaba a las convicciones de los pintores chinos en estado de embriaguez: “No siento miedo de efectuar cambios, de destruir la imagen, etc. porque la pintura tiene vida propia. Intento dejarla salir”. De nuevo esto tiene que ver menos con el azar que con la transformación en acción de las fuerzas que atraviesan al artista” (Horst </w:t>
      </w:r>
      <w:proofErr w:type="spellStart"/>
      <w:r>
        <w:t>Bredekamp</w:t>
      </w:r>
      <w:proofErr w:type="spellEnd"/>
      <w:r>
        <w:t xml:space="preserve">: </w:t>
      </w:r>
      <w:r>
        <w:rPr>
          <w:i/>
        </w:rPr>
        <w:t xml:space="preserve">Teoría del acto icónico, </w:t>
      </w:r>
      <w:r>
        <w:t>Ed. Akal, Madrid, 2017, pp. 201-203).</w:t>
      </w:r>
    </w:p>
  </w:footnote>
  <w:footnote w:id="11">
    <w:p w14:paraId="0CFE18BF" w14:textId="77777777" w:rsidR="005D7209" w:rsidRPr="005A095A" w:rsidRDefault="005D7209" w:rsidP="00D53551">
      <w:pPr>
        <w:pStyle w:val="Textonotapie"/>
      </w:pPr>
      <w:r>
        <w:rPr>
          <w:rStyle w:val="Refdenotaalpie"/>
        </w:rPr>
        <w:footnoteRef/>
      </w:r>
      <w:r>
        <w:t xml:space="preserve"> Cfr. Jean-François Lyotard: </w:t>
      </w:r>
      <w:r>
        <w:rPr>
          <w:i/>
        </w:rPr>
        <w:t xml:space="preserve">Dispositivos pulsionales, </w:t>
      </w:r>
      <w:r>
        <w:t>Ed. Fundamentos, Madrid, 1981, pp. 282 y ss.</w:t>
      </w:r>
    </w:p>
  </w:footnote>
  <w:footnote w:id="12">
    <w:p w14:paraId="0B080060" w14:textId="77777777" w:rsidR="005D7209" w:rsidRPr="005A095A" w:rsidRDefault="005D7209" w:rsidP="00D53551">
      <w:pPr>
        <w:pStyle w:val="Textonotapie"/>
      </w:pPr>
      <w:r>
        <w:rPr>
          <w:rStyle w:val="Refdenotaalpie"/>
        </w:rPr>
        <w:footnoteRef/>
      </w:r>
      <w:r>
        <w:t xml:space="preserve"> </w:t>
      </w:r>
      <w:proofErr w:type="spellStart"/>
      <w:r>
        <w:t>Marcelin</w:t>
      </w:r>
      <w:proofErr w:type="spellEnd"/>
      <w:r>
        <w:t xml:space="preserve"> </w:t>
      </w:r>
      <w:proofErr w:type="spellStart"/>
      <w:r>
        <w:t>Pleynet</w:t>
      </w:r>
      <w:proofErr w:type="spellEnd"/>
      <w:r>
        <w:t xml:space="preserve">: “La poesía debe tener por objeto…” en TEL QUEL: </w:t>
      </w:r>
      <w:r>
        <w:rPr>
          <w:i/>
        </w:rPr>
        <w:t xml:space="preserve">Teoría de conjuntos, </w:t>
      </w:r>
      <w:r>
        <w:t>Ed. Seix-Barral, Barcelona, 1971, p. 131.</w:t>
      </w:r>
    </w:p>
  </w:footnote>
  <w:footnote w:id="13">
    <w:p w14:paraId="3ECDBE3A" w14:textId="77777777" w:rsidR="005D7209" w:rsidRDefault="005D7209" w:rsidP="000452B7">
      <w:pPr>
        <w:pStyle w:val="Textonotapie"/>
      </w:pPr>
      <w:r>
        <w:rPr>
          <w:rStyle w:val="Refdenotaalpie"/>
        </w:rPr>
        <w:footnoteRef/>
      </w:r>
      <w:r>
        <w:t xml:space="preserve"> Rosalind E. Krauss: “Retículas” en </w:t>
      </w:r>
      <w:r>
        <w:rPr>
          <w:i/>
          <w:iCs/>
        </w:rPr>
        <w:t>La originalidad de la Vanguardia y otros mitos modernos,</w:t>
      </w:r>
      <w:r>
        <w:t xml:space="preserve"> Ed. Alianza, Madrid, 1996, p. 36.</w:t>
      </w:r>
    </w:p>
  </w:footnote>
  <w:footnote w:id="14">
    <w:p w14:paraId="760799AC" w14:textId="77777777" w:rsidR="005D7209" w:rsidRDefault="005D7209" w:rsidP="000452B7">
      <w:pPr>
        <w:pStyle w:val="Textonotapie"/>
      </w:pPr>
      <w:r>
        <w:rPr>
          <w:rStyle w:val="Refdenotaalpie"/>
        </w:rPr>
        <w:footnoteRef/>
      </w:r>
      <w:r>
        <w:t xml:space="preserve"> Rosalind E. Krauss: “La originalidad de la vanguardia: una repetición posmoderna” en </w:t>
      </w:r>
      <w:r>
        <w:rPr>
          <w:i/>
          <w:iCs/>
        </w:rPr>
        <w:t>Arte después de la modernidad. Nuevos planteamientos en torno a la representación,</w:t>
      </w:r>
      <w:r>
        <w:t xml:space="preserve"> Ed. Akal, Madrid, 2001, p. 18.</w:t>
      </w:r>
    </w:p>
  </w:footnote>
  <w:footnote w:id="15">
    <w:p w14:paraId="00B6A06D" w14:textId="77777777" w:rsidR="005D7209" w:rsidRPr="008736BE" w:rsidRDefault="005D7209" w:rsidP="000452B7">
      <w:pPr>
        <w:pStyle w:val="Textonotapie"/>
      </w:pPr>
      <w:r>
        <w:rPr>
          <w:rStyle w:val="Refdenotaalpie"/>
        </w:rPr>
        <w:footnoteRef/>
      </w:r>
      <w:r>
        <w:t xml:space="preserve"> “Gran parte del arte moderno, especialmente la pintura abstracta y el arte minimalista, se dedicó a la desaparición de la figura, reemplazándola por algo que podría llamarse “puro fondo” (</w:t>
      </w:r>
      <w:r>
        <w:rPr>
          <w:i/>
        </w:rPr>
        <w:t xml:space="preserve">pure </w:t>
      </w:r>
      <w:proofErr w:type="spellStart"/>
      <w:r>
        <w:rPr>
          <w:i/>
        </w:rPr>
        <w:t>grounding</w:t>
      </w:r>
      <w:proofErr w:type="spellEnd"/>
      <w:r>
        <w:t xml:space="preserve">), un campo de color, por ejemplo; una losa o zócalo sin figura que lo use como base; un vacío o espacio en blanco en el que se podrían imaginar los comienzos o finales de la pintura, de la creación de imágenes y de la figuración” (W.J.T. Mitchell: </w:t>
      </w:r>
      <w:r>
        <w:rPr>
          <w:i/>
        </w:rPr>
        <w:t xml:space="preserve">De la ciencia de la imagen. Iconología, cultura visual y estética de los medios, </w:t>
      </w:r>
      <w:r>
        <w:t>Ed. Akal, Madrid, 2019, p. 149).</w:t>
      </w:r>
    </w:p>
  </w:footnote>
  <w:footnote w:id="16">
    <w:p w14:paraId="7935167D" w14:textId="6EC0E315" w:rsidR="005D7209" w:rsidRPr="00D25CAD" w:rsidRDefault="005D7209" w:rsidP="000452B7">
      <w:pPr>
        <w:pStyle w:val="Textonotapie"/>
      </w:pPr>
      <w:r>
        <w:rPr>
          <w:rStyle w:val="Refdenotaalpie"/>
        </w:rPr>
        <w:footnoteRef/>
      </w:r>
      <w:r w:rsidRPr="009F3BB7">
        <w:rPr>
          <w:lang w:val="en-US"/>
        </w:rPr>
        <w:t xml:space="preserve"> </w:t>
      </w:r>
      <w:proofErr w:type="spellStart"/>
      <w:r w:rsidRPr="009F3BB7">
        <w:rPr>
          <w:lang w:val="en-US"/>
        </w:rPr>
        <w:t>Cfr</w:t>
      </w:r>
      <w:proofErr w:type="spellEnd"/>
      <w:r w:rsidRPr="009F3BB7">
        <w:rPr>
          <w:lang w:val="en-US"/>
        </w:rPr>
        <w:t xml:space="preserve">. Michael Fried: “Art and Objecthood” </w:t>
      </w:r>
      <w:proofErr w:type="spellStart"/>
      <w:r w:rsidRPr="009F3BB7">
        <w:rPr>
          <w:lang w:val="en-US"/>
        </w:rPr>
        <w:t>en</w:t>
      </w:r>
      <w:proofErr w:type="spellEnd"/>
      <w:r w:rsidRPr="009F3BB7">
        <w:rPr>
          <w:lang w:val="en-US"/>
        </w:rPr>
        <w:t xml:space="preserve"> </w:t>
      </w:r>
      <w:r>
        <w:rPr>
          <w:i/>
          <w:lang w:val="en-US"/>
        </w:rPr>
        <w:t xml:space="preserve">Art Forum </w:t>
      </w:r>
      <w:r>
        <w:rPr>
          <w:lang w:val="en-US"/>
        </w:rPr>
        <w:t xml:space="preserve">(Junio, 1967). </w:t>
      </w:r>
      <w:r w:rsidRPr="00D25CAD">
        <w:t>“</w:t>
      </w:r>
      <w:proofErr w:type="spellStart"/>
      <w:r w:rsidRPr="00D25CAD">
        <w:t>Fried</w:t>
      </w:r>
      <w:proofErr w:type="spellEnd"/>
      <w:r w:rsidRPr="00D25CAD">
        <w:t xml:space="preserve"> insiste en la pureza y especificidad de los medios, rechazando las formas híbridas</w:t>
      </w:r>
      <w:r>
        <w:t xml:space="preserve">, las técnicas mixtas y cualquier cosa que se encuentre “entre las artes” como una suerte de “teatro” o retórica, condenándolas a la inautenticidad y a un estatus estético de segunda categoría. Se trata de uno de los mitos más conocidos y manidos de la modernidad y es hora de dejarlo atrás” (W.J.T. Mitchell: </w:t>
      </w:r>
      <w:r>
        <w:rPr>
          <w:i/>
        </w:rPr>
        <w:t xml:space="preserve">La ciencia de la imagen. Iconología, cultura visual y estética de los medios, </w:t>
      </w:r>
      <w:r>
        <w:t>Ed. Akal, Madrid, 2019, p. 122).</w:t>
      </w:r>
    </w:p>
  </w:footnote>
  <w:footnote w:id="17">
    <w:p w14:paraId="6FB90CDC" w14:textId="2C28B5FA" w:rsidR="005D7209" w:rsidRPr="00EE76DE" w:rsidRDefault="005D7209" w:rsidP="00980D79">
      <w:pPr>
        <w:pStyle w:val="Textonotapie"/>
      </w:pPr>
      <w:r>
        <w:rPr>
          <w:rStyle w:val="Refdenotaalpie"/>
        </w:rPr>
        <w:footnoteRef/>
      </w:r>
      <w:r>
        <w:t xml:space="preserve"> Hegel exigía del “material sensible” de la pintura que nos llevará más allá de la perspectiva e incluso del problema de lo encarnado (</w:t>
      </w:r>
      <w:proofErr w:type="spellStart"/>
      <w:r>
        <w:rPr>
          <w:i/>
        </w:rPr>
        <w:t>Karnation</w:t>
      </w:r>
      <w:proofErr w:type="spellEnd"/>
      <w:r>
        <w:t xml:space="preserve">) para plantear lo que llamó </w:t>
      </w:r>
      <w:r>
        <w:rPr>
          <w:i/>
        </w:rPr>
        <w:t xml:space="preserve">magia, </w:t>
      </w:r>
      <w:r>
        <w:t xml:space="preserve">esto es, ese procedimiento que trataba todos los colores “de tal modo que de ahí surja un juego de apariencias para sí carente de objeto, que constituye la extrema cima descollante del colorido, una interpenetración de coloraciones, una apariencia de reflejos que aparezcan en otra apariencia y devengan tan finos, tan fugaces, tan anímicos, que comiencen a entrar en el dominio de la música” (Hegel: </w:t>
      </w:r>
      <w:r>
        <w:rPr>
          <w:i/>
        </w:rPr>
        <w:t xml:space="preserve">Lecciones sobre la estética, </w:t>
      </w:r>
      <w:r>
        <w:t>Ed. Akal, Madrid, 2007, p. 617).</w:t>
      </w:r>
    </w:p>
  </w:footnote>
  <w:footnote w:id="18">
    <w:p w14:paraId="292F58D9" w14:textId="02811F46" w:rsidR="005D7209" w:rsidRPr="008F3489" w:rsidRDefault="005D7209" w:rsidP="00980D79">
      <w:pPr>
        <w:pStyle w:val="Textonotapie"/>
      </w:pPr>
      <w:r>
        <w:rPr>
          <w:rStyle w:val="Refdenotaalpie"/>
        </w:rPr>
        <w:footnoteRef/>
      </w:r>
      <w:r>
        <w:t xml:space="preserve"> “En todo caso, esto significa que el color no tiene lugar en la superficie de los cuerpos, sino en un límite (</w:t>
      </w:r>
      <w:proofErr w:type="spellStart"/>
      <w:r>
        <w:rPr>
          <w:i/>
        </w:rPr>
        <w:t>eschaton</w:t>
      </w:r>
      <w:proofErr w:type="spellEnd"/>
      <w:r>
        <w:t xml:space="preserve">) de lo diáfano que está en ellos, que los atraviesa. El acontecimiento coloreado marca el límite de su causa invisible, lo diáfano, en el momento en el que se actualiza al atravesar, al encontrar, un cuerpo. “[…] visible porque contiene en sí mismo la causa de su visibilidad” (Aristóteles: </w:t>
      </w:r>
      <w:r>
        <w:rPr>
          <w:i/>
        </w:rPr>
        <w:t xml:space="preserve">De anima, </w:t>
      </w:r>
      <w:r>
        <w:t xml:space="preserve">418a). Dicho de otra manera: el color “existe ciertamente </w:t>
      </w:r>
      <w:r>
        <w:rPr>
          <w:i/>
        </w:rPr>
        <w:t xml:space="preserve">en </w:t>
      </w:r>
      <w:r>
        <w:t xml:space="preserve">el límite del cuerpo, sin dejar de </w:t>
      </w:r>
      <w:r>
        <w:rPr>
          <w:i/>
        </w:rPr>
        <w:t xml:space="preserve">ser </w:t>
      </w:r>
      <w:r>
        <w:t xml:space="preserve">por ello el límite del cuerpo” (Aristóteles: </w:t>
      </w:r>
      <w:proofErr w:type="spellStart"/>
      <w:r>
        <w:rPr>
          <w:i/>
        </w:rPr>
        <w:t>op.cit</w:t>
      </w:r>
      <w:proofErr w:type="spellEnd"/>
      <w:r>
        <w:rPr>
          <w:i/>
        </w:rPr>
        <w:t xml:space="preserve">., </w:t>
      </w:r>
      <w:r>
        <w:t>439a). Lo cual abre la posibilidad del aura, de la perturbación, del “punto extremo y evanescente del colorido”. El color también existe, sutilmente, actualizado de manera diferente, un poco más acá del cuerpo coloreado, y un poco más allá de él, y hasta mí, y más allá de mí. No está depositado en la superficie de los cuerpos, es un juego lábil del límite, vacila de unos planos a otros del espacio” (Georges Didi-</w:t>
      </w:r>
      <w:proofErr w:type="spellStart"/>
      <w:r>
        <w:t>Huberman</w:t>
      </w:r>
      <w:proofErr w:type="spellEnd"/>
      <w:r>
        <w:t xml:space="preserve">: </w:t>
      </w:r>
      <w:proofErr w:type="spellStart"/>
      <w:r>
        <w:rPr>
          <w:i/>
        </w:rPr>
        <w:t>Fasmas</w:t>
      </w:r>
      <w:proofErr w:type="spellEnd"/>
      <w:r>
        <w:rPr>
          <w:i/>
        </w:rPr>
        <w:t xml:space="preserve">. Ensayos sobre la aparición, </w:t>
      </w:r>
      <w:r>
        <w:t xml:space="preserve">Ed. </w:t>
      </w:r>
      <w:proofErr w:type="spellStart"/>
      <w:r>
        <w:t>Shangrila</w:t>
      </w:r>
      <w:proofErr w:type="spellEnd"/>
      <w:r>
        <w:t>, Santander, 2015, p. 109).</w:t>
      </w:r>
    </w:p>
  </w:footnote>
  <w:footnote w:id="19">
    <w:p w14:paraId="471C3818" w14:textId="79D682EE" w:rsidR="005D7209" w:rsidRPr="00496A90" w:rsidRDefault="005D7209">
      <w:pPr>
        <w:pStyle w:val="Textonotapie"/>
      </w:pPr>
      <w:r>
        <w:rPr>
          <w:rStyle w:val="Refdenotaalpie"/>
        </w:rPr>
        <w:footnoteRef/>
      </w:r>
      <w:r>
        <w:t xml:space="preserve"> “Merleau-Ponty habló sin reservas de la fuerza </w:t>
      </w:r>
      <w:proofErr w:type="spellStart"/>
      <w:r>
        <w:t>talismánica</w:t>
      </w:r>
      <w:proofErr w:type="spellEnd"/>
      <w:r>
        <w:t xml:space="preserve"> del color, utilizando a este respecto conceptos que ya había escogido Georg Wilhelm Friedrich Hegel. En sus </w:t>
      </w:r>
      <w:r>
        <w:rPr>
          <w:i/>
        </w:rPr>
        <w:t>Lecciones sobre la estética</w:t>
      </w:r>
      <w:r>
        <w:t xml:space="preserve">, Hegel, al contemplar la pintura de los primitivos flamencos, no vacilaba a la hora de hablar igualmente de la “magia del color”. Los “secretos de su hechizo”, según él, se encuentran en que los efectos de los colores no dependen únicamente de la forma visible de su capa. Más bien generan en su combinación “un centellear y un destellar” que no sólo es fruto de las manchas individuales de color. El </w:t>
      </w:r>
      <w:r>
        <w:rPr>
          <w:i/>
        </w:rPr>
        <w:t>Hombre con turbante rojo</w:t>
      </w:r>
      <w:r>
        <w:t xml:space="preserve"> de Jan van Eyck, de 1433, en su interacción entre la piel animal, las arrugas fotorrealistas de los ojos y la calidad háptica de la tela iridiscente del turbante, puede servir como ejemplo de lo que Hegel asoció con este tipo de pintura. En la trasposición de la cualidad actante del pincel a lo pintado, el observador se convierte en objeto de la obra </w:t>
      </w:r>
      <w:proofErr w:type="spellStart"/>
      <w:r>
        <w:t>autoactiva</w:t>
      </w:r>
      <w:proofErr w:type="spellEnd"/>
      <w:r>
        <w:t xml:space="preserve">, como deduce Hegel en una conclusión inimitable: “Se trata de una destreza plenamente subjetiva, que de este modo objetivo se manifiesta como la destreza del propio medio en su viveza y su efecto para crear una materialidad a través de sí mismo”. Una vez más, la expresión de la pintura no es aquí, por ejemplo, una exteriorización reflejada del alma en el medio de la materia, sino una autoactividad viva de la obra. La destreza subjetiva se traslada a la “viveza y el efecto de los medios” (Horst </w:t>
      </w:r>
      <w:proofErr w:type="spellStart"/>
      <w:r>
        <w:t>Bredekamp</w:t>
      </w:r>
      <w:proofErr w:type="spellEnd"/>
      <w:r>
        <w:t xml:space="preserve">: </w:t>
      </w:r>
      <w:r>
        <w:rPr>
          <w:i/>
        </w:rPr>
        <w:t xml:space="preserve">Teoría del acto icónico, </w:t>
      </w:r>
      <w:r>
        <w:t>Ed. Akal, Madrid, 2017, p. 203).</w:t>
      </w:r>
    </w:p>
  </w:footnote>
  <w:footnote w:id="20">
    <w:p w14:paraId="292B581E" w14:textId="77777777" w:rsidR="005D7209" w:rsidRDefault="005D7209" w:rsidP="000452B7">
      <w:pPr>
        <w:pStyle w:val="Textonotapie"/>
      </w:pPr>
      <w:r>
        <w:rPr>
          <w:rStyle w:val="Refdenotaalpie"/>
        </w:rPr>
        <w:footnoteRef/>
      </w:r>
      <w:r>
        <w:t xml:space="preserve"> “Es necesario aceptar con alegría que el destino de toda situación sea la infinita multiplicidad de los conjuntos, que ninguna profundidad pueda nunca establecerse, que la homogeneidad del múltiple lo lleve ontológicamente sobre el juego de las intensidades” (Alain </w:t>
      </w:r>
      <w:proofErr w:type="spellStart"/>
      <w:r>
        <w:t>Badiou</w:t>
      </w:r>
      <w:proofErr w:type="spellEnd"/>
      <w:r>
        <w:t xml:space="preserve">: </w:t>
      </w:r>
      <w:proofErr w:type="spellStart"/>
      <w:r>
        <w:rPr>
          <w:i/>
          <w:iCs/>
        </w:rPr>
        <w:t>Court</w:t>
      </w:r>
      <w:proofErr w:type="spellEnd"/>
      <w:r>
        <w:rPr>
          <w:i/>
          <w:iCs/>
        </w:rPr>
        <w:t xml:space="preserve"> </w:t>
      </w:r>
      <w:proofErr w:type="spellStart"/>
      <w:r>
        <w:rPr>
          <w:i/>
          <w:iCs/>
        </w:rPr>
        <w:t>traité</w:t>
      </w:r>
      <w:proofErr w:type="spellEnd"/>
      <w:r>
        <w:rPr>
          <w:i/>
          <w:iCs/>
        </w:rPr>
        <w:t xml:space="preserve"> </w:t>
      </w:r>
      <w:proofErr w:type="spellStart"/>
      <w:r>
        <w:rPr>
          <w:i/>
          <w:iCs/>
        </w:rPr>
        <w:t>d´ontologie</w:t>
      </w:r>
      <w:proofErr w:type="spellEnd"/>
      <w:r>
        <w:rPr>
          <w:i/>
          <w:iCs/>
        </w:rPr>
        <w:t xml:space="preserve"> </w:t>
      </w:r>
      <w:proofErr w:type="spellStart"/>
      <w:r>
        <w:rPr>
          <w:i/>
          <w:iCs/>
        </w:rPr>
        <w:t>transitoire</w:t>
      </w:r>
      <w:proofErr w:type="spellEnd"/>
      <w:r>
        <w:rPr>
          <w:i/>
          <w:iCs/>
        </w:rPr>
        <w:t xml:space="preserve">, </w:t>
      </w:r>
      <w:r>
        <w:t>Ed. du Seuil, París, 1998, p. 22).</w:t>
      </w:r>
    </w:p>
  </w:footnote>
  <w:footnote w:id="21">
    <w:p w14:paraId="7EE0457F" w14:textId="77777777" w:rsidR="005D7209" w:rsidRDefault="005D7209" w:rsidP="000452B7">
      <w:pPr>
        <w:pStyle w:val="Textonotapie"/>
      </w:pPr>
      <w:r>
        <w:rPr>
          <w:rStyle w:val="Refdenotaalpie"/>
        </w:rPr>
        <w:footnoteRef/>
      </w:r>
      <w:r>
        <w:t xml:space="preserve"> “Cuando Frank Stella dio sus Norton </w:t>
      </w:r>
      <w:proofErr w:type="spellStart"/>
      <w:r>
        <w:t>Lectures</w:t>
      </w:r>
      <w:proofErr w:type="spellEnd"/>
      <w:r>
        <w:t xml:space="preserve"> en Harvard en 1983-1984, introdujo el interesante concepto de “espacio de funcionamiento”, espacios proyectados frente a las máquinas que difieren del espacio interior, ilusionista, de las pinturas en las que transpiran las acciones mostradas” (Arthur C. Danto: “Abstracción” en </w:t>
      </w:r>
      <w:r>
        <w:rPr>
          <w:i/>
          <w:iCs/>
        </w:rPr>
        <w:t>La Madonna del futuro. Ensayos en un mundo del arte plural,</w:t>
      </w:r>
      <w:r>
        <w:t xml:space="preserve"> Ed. Paidós, Barcelona, 2003,</w:t>
      </w:r>
      <w:r>
        <w:rPr>
          <w:i/>
          <w:iCs/>
        </w:rPr>
        <w:t xml:space="preserve"> </w:t>
      </w:r>
      <w:r>
        <w:t>p. 240).</w:t>
      </w:r>
    </w:p>
  </w:footnote>
  <w:footnote w:id="22">
    <w:p w14:paraId="32FED7FF" w14:textId="342CF70B" w:rsidR="005D7209" w:rsidRPr="00D77C7B" w:rsidRDefault="005D7209">
      <w:pPr>
        <w:pStyle w:val="Textonotapie"/>
      </w:pPr>
      <w:r>
        <w:rPr>
          <w:rStyle w:val="Refdenotaalpie"/>
        </w:rPr>
        <w:footnoteRef/>
      </w:r>
      <w:r>
        <w:t xml:space="preserve"> “Ante ese cuadro extraordinariamente bello de Cézanne, me di cuenta de hasta qué punto es falso, ya desde una perspectiva lingüística, el discurso sobre la “empatía”. Me pareció que cuando uno capta un cuadro no penetra en absoluto en su espacio, sino que más bien ese espacio avanza, en principio hacia diversos lugares muy concretos. Se abre a nosotros en los ángulos y los rincones en los que creemos poder localizar experiencias muy importantes del pasado; hay algo inexplicablemente conocido en esos lugares” (Walter </w:t>
      </w:r>
      <w:proofErr w:type="spellStart"/>
      <w:r>
        <w:t>Benjamin</w:t>
      </w:r>
      <w:proofErr w:type="spellEnd"/>
      <w:r>
        <w:t xml:space="preserve"> citado en Georges Didi-</w:t>
      </w:r>
      <w:proofErr w:type="spellStart"/>
      <w:r>
        <w:t>Huberman</w:t>
      </w:r>
      <w:proofErr w:type="spellEnd"/>
      <w:r>
        <w:t xml:space="preserve">: </w:t>
      </w:r>
      <w:r>
        <w:rPr>
          <w:i/>
        </w:rPr>
        <w:t xml:space="preserve">Vislumbres, </w:t>
      </w:r>
      <w:r>
        <w:t xml:space="preserve">Ed. </w:t>
      </w:r>
      <w:proofErr w:type="spellStart"/>
      <w:r>
        <w:t>Shangrila</w:t>
      </w:r>
      <w:proofErr w:type="spellEnd"/>
      <w:r>
        <w:t>, Santander, 2019, p. 314).</w:t>
      </w:r>
    </w:p>
  </w:footnote>
  <w:footnote w:id="23">
    <w:p w14:paraId="4955BD7E" w14:textId="7F77DC1F" w:rsidR="005D7209" w:rsidRPr="00CB5576" w:rsidRDefault="005D7209">
      <w:pPr>
        <w:pStyle w:val="Textonotapie"/>
      </w:pPr>
      <w:r>
        <w:rPr>
          <w:rStyle w:val="Refdenotaalpie"/>
        </w:rPr>
        <w:footnoteRef/>
      </w:r>
      <w:r>
        <w:t xml:space="preserve"> “Al vincular la abstracción y la intimidad pienso, por supuesto, en la influyente argumentación de </w:t>
      </w:r>
      <w:proofErr w:type="spellStart"/>
      <w:r>
        <w:t>Wilhlem</w:t>
      </w:r>
      <w:proofErr w:type="spellEnd"/>
      <w:r>
        <w:t xml:space="preserve"> </w:t>
      </w:r>
      <w:proofErr w:type="spellStart"/>
      <w:r>
        <w:t>Worringer</w:t>
      </w:r>
      <w:proofErr w:type="spellEnd"/>
      <w:r>
        <w:t xml:space="preserve"> en </w:t>
      </w:r>
      <w:proofErr w:type="spellStart"/>
      <w:r>
        <w:rPr>
          <w:i/>
        </w:rPr>
        <w:t>Abstraction</w:t>
      </w:r>
      <w:proofErr w:type="spellEnd"/>
      <w:r>
        <w:rPr>
          <w:i/>
        </w:rPr>
        <w:t xml:space="preserve"> and </w:t>
      </w:r>
      <w:proofErr w:type="spellStart"/>
      <w:r>
        <w:rPr>
          <w:i/>
        </w:rPr>
        <w:t>Empathy</w:t>
      </w:r>
      <w:proofErr w:type="spellEnd"/>
      <w:r>
        <w:rPr>
          <w:i/>
        </w:rPr>
        <w:t xml:space="preserve"> </w:t>
      </w:r>
      <w:r>
        <w:t xml:space="preserve">(1906) de que el arte abstracto tanto en su fase primitiva como en la moderna, obedece a un impulso de “auto-alienación”, expresando un “temor al espacio” y una negación de todas las formas de empatía” (W. J.T. Mitchell: </w:t>
      </w:r>
      <w:r>
        <w:rPr>
          <w:i/>
        </w:rPr>
        <w:t xml:space="preserve">¿Qué quieren las imágenes? Una crítica de la cultura visual, </w:t>
      </w:r>
      <w:r>
        <w:t xml:space="preserve">Ed. Sans </w:t>
      </w:r>
      <w:proofErr w:type="spellStart"/>
      <w:r>
        <w:t>Soleil</w:t>
      </w:r>
      <w:proofErr w:type="spellEnd"/>
      <w:r>
        <w:t>, Bilbao, 2017, p. 293).</w:t>
      </w:r>
    </w:p>
  </w:footnote>
  <w:footnote w:id="24">
    <w:p w14:paraId="2287A565" w14:textId="31FAC93A" w:rsidR="005D7209" w:rsidRPr="000452B7" w:rsidRDefault="005D7209">
      <w:pPr>
        <w:pStyle w:val="Textonotapie"/>
        <w:rPr>
          <w:lang w:val="en-US"/>
        </w:rPr>
      </w:pPr>
      <w:r>
        <w:rPr>
          <w:rStyle w:val="Refdenotaalpie"/>
        </w:rPr>
        <w:footnoteRef/>
      </w:r>
      <w:r>
        <w:t xml:space="preserve"> Horst </w:t>
      </w:r>
      <w:proofErr w:type="spellStart"/>
      <w:r>
        <w:t>Bredekamp</w:t>
      </w:r>
      <w:proofErr w:type="spellEnd"/>
      <w:r>
        <w:t xml:space="preserve">: </w:t>
      </w:r>
      <w:r>
        <w:rPr>
          <w:i/>
        </w:rPr>
        <w:t xml:space="preserve">Teoría del acto icónico, </w:t>
      </w:r>
      <w:r>
        <w:t xml:space="preserve">Ed. </w:t>
      </w:r>
      <w:r w:rsidRPr="000452B7">
        <w:rPr>
          <w:lang w:val="en-US"/>
        </w:rPr>
        <w:t>Akal, Madrid, 2017, p. 187.</w:t>
      </w:r>
    </w:p>
  </w:footnote>
  <w:footnote w:id="25">
    <w:p w14:paraId="7029C322" w14:textId="77777777" w:rsidR="005D7209" w:rsidRPr="00825D9D" w:rsidRDefault="005D7209" w:rsidP="000452B7">
      <w:pPr>
        <w:pStyle w:val="Textonotapie"/>
        <w:rPr>
          <w:i/>
        </w:rPr>
      </w:pPr>
      <w:r>
        <w:rPr>
          <w:rStyle w:val="Refdenotaalpie"/>
        </w:rPr>
        <w:footnoteRef/>
      </w:r>
      <w:r>
        <w:t xml:space="preserve"> Hablando de su volumen de </w:t>
      </w:r>
      <w:r>
        <w:rPr>
          <w:i/>
        </w:rPr>
        <w:t xml:space="preserve">Ideas, apropiaciones </w:t>
      </w:r>
      <w:r>
        <w:t xml:space="preserve">y otras cosas, Ciria apunta: “Este generoso “vademécum” que usted ojea y hojea en este instante, viene a intentar contestar a muchas de estas observaciones. Se ha pretendido reunir la sobriedad y el humor que habitan en mi cabeza, mi natural inclinación por lo híbrido, la mezcla, lo mestizo, junto a la pureza conceptual de mis pensamientos teóricos” (José Manuel Ciria: </w:t>
      </w:r>
      <w:r>
        <w:rPr>
          <w:i/>
        </w:rPr>
        <w:t xml:space="preserve">Ideas, apropiaciones, fuentes, experimentos, cosas, figuras, casualidades, fosfenos, </w:t>
      </w:r>
      <w:r>
        <w:t xml:space="preserve">Ed. Cobas </w:t>
      </w:r>
      <w:proofErr w:type="spellStart"/>
      <w:r>
        <w:t>Asset</w:t>
      </w:r>
      <w:proofErr w:type="spellEnd"/>
      <w:r>
        <w:t xml:space="preserve"> Management &amp; </w:t>
      </w:r>
      <w:proofErr w:type="spellStart"/>
      <w:r>
        <w:t>Value</w:t>
      </w:r>
      <w:proofErr w:type="spellEnd"/>
      <w:r>
        <w:t xml:space="preserve"> </w:t>
      </w:r>
      <w:proofErr w:type="spellStart"/>
      <w:r>
        <w:t>School</w:t>
      </w:r>
      <w:proofErr w:type="spellEnd"/>
      <w:r>
        <w:t>, Madrid, 2017).</w:t>
      </w:r>
    </w:p>
  </w:footnote>
  <w:footnote w:id="26">
    <w:p w14:paraId="0D2FEA16" w14:textId="77777777" w:rsidR="005D7209" w:rsidRPr="000452B7" w:rsidRDefault="005D7209" w:rsidP="000452B7">
      <w:pPr>
        <w:pStyle w:val="Textonotapie"/>
        <w:rPr>
          <w:lang w:val="en-US"/>
        </w:rPr>
      </w:pPr>
      <w:r>
        <w:rPr>
          <w:rStyle w:val="Refdenotaalpie"/>
        </w:rPr>
        <w:footnoteRef/>
      </w:r>
      <w:r>
        <w:t xml:space="preserve"> “Expresar lo que no se deja decir. Filosofía y arte. Pensamiento y pintura. Profundización teórica y conocimiento preconsciente” (José Manuel Ciria: </w:t>
      </w:r>
      <w:r>
        <w:rPr>
          <w:i/>
        </w:rPr>
        <w:t xml:space="preserve">Ideas, apropiaciones, fuentes, experimentos, cosas, figuras, casualidades, fosfenos, </w:t>
      </w:r>
      <w:r>
        <w:t xml:space="preserve">Ed. </w:t>
      </w:r>
      <w:r w:rsidRPr="000452B7">
        <w:rPr>
          <w:lang w:val="en-US"/>
        </w:rPr>
        <w:t>Cobas Asset Management &amp; Value School, Madrid, 2017).</w:t>
      </w:r>
    </w:p>
  </w:footnote>
  <w:footnote w:id="27">
    <w:p w14:paraId="0F9C2CBE" w14:textId="3F718A94" w:rsidR="005D7209" w:rsidRPr="00074F19" w:rsidRDefault="005D7209" w:rsidP="00CA4240">
      <w:pPr>
        <w:pStyle w:val="Textonotapie"/>
        <w:rPr>
          <w:lang w:val="en-US"/>
        </w:rPr>
      </w:pPr>
      <w:r>
        <w:rPr>
          <w:rStyle w:val="Refdenotaalpie"/>
        </w:rPr>
        <w:footnoteRef/>
      </w:r>
      <w:r>
        <w:rPr>
          <w:lang w:val="en-US"/>
        </w:rPr>
        <w:t xml:space="preserve"> Michael Fried: “Three</w:t>
      </w:r>
      <w:r w:rsidRPr="00074F19">
        <w:rPr>
          <w:lang w:val="en-US"/>
        </w:rPr>
        <w:t xml:space="preserve"> American Painters” </w:t>
      </w:r>
      <w:proofErr w:type="spellStart"/>
      <w:r w:rsidRPr="00074F19">
        <w:rPr>
          <w:lang w:val="en-US"/>
        </w:rPr>
        <w:t>en</w:t>
      </w:r>
      <w:proofErr w:type="spellEnd"/>
      <w:r w:rsidRPr="00074F19">
        <w:rPr>
          <w:lang w:val="en-US"/>
        </w:rPr>
        <w:t xml:space="preserve"> </w:t>
      </w:r>
      <w:r>
        <w:rPr>
          <w:i/>
          <w:lang w:val="en-US"/>
        </w:rPr>
        <w:t xml:space="preserve">Art and Objecthood: Essays and Reviews, </w:t>
      </w:r>
      <w:r>
        <w:rPr>
          <w:lang w:val="en-US"/>
        </w:rPr>
        <w:t>Chicago University Press, 1998, pp. 227-228.</w:t>
      </w:r>
    </w:p>
  </w:footnote>
  <w:footnote w:id="28">
    <w:p w14:paraId="69ED9967" w14:textId="6F5EFF2E" w:rsidR="005D7209" w:rsidRPr="00481FD3" w:rsidRDefault="005D7209">
      <w:pPr>
        <w:pStyle w:val="Textonotapie"/>
      </w:pPr>
      <w:r>
        <w:rPr>
          <w:rStyle w:val="Refdenotaalpie"/>
        </w:rPr>
        <w:footnoteRef/>
      </w:r>
      <w:r>
        <w:t xml:space="preserve"> “Conforme a su método de lanzar contra la pared una esponja empapada en diferentes colores para utilizar las manchas así surgidas como fuente de inspiración, Leonardo descubría en este tipo de figuras universos enteros de cabezas humanas, animales, batallas, rocas, mares, nubes y bosques. Bien es cierto que se mostraba escéptico respecto a la posibilidad de que de este modo se pudiese llegar en verdad a una pintura de paisajes; sin embargo, para su teoría de la imagen era una fuente de inspiración de gran valor, porque sus formas, en su carácter vago, borroso, se correspondían con las membranas luminosas que se desprenden de los objetos de las que habla Lucrecio” (Horst </w:t>
      </w:r>
      <w:proofErr w:type="spellStart"/>
      <w:r>
        <w:t>Bredekamp</w:t>
      </w:r>
      <w:proofErr w:type="spellEnd"/>
      <w:r>
        <w:t xml:space="preserve">: </w:t>
      </w:r>
      <w:r>
        <w:rPr>
          <w:i/>
        </w:rPr>
        <w:t xml:space="preserve">Teoría del acto icónico, </w:t>
      </w:r>
      <w:r>
        <w:t>Ed. Akal, Madrid, 2017, p. 237).</w:t>
      </w:r>
    </w:p>
  </w:footnote>
  <w:footnote w:id="29">
    <w:p w14:paraId="37EB040A" w14:textId="77777777" w:rsidR="005D7209" w:rsidRPr="004B5954" w:rsidRDefault="005D7209" w:rsidP="009D072D">
      <w:pPr>
        <w:pStyle w:val="Textonotapie"/>
      </w:pPr>
      <w:r>
        <w:rPr>
          <w:rStyle w:val="Refdenotaalpie"/>
        </w:rPr>
        <w:footnoteRef/>
      </w:r>
      <w:r>
        <w:t xml:space="preserve"> “Llamaré pues </w:t>
      </w:r>
      <w:r>
        <w:rPr>
          <w:i/>
        </w:rPr>
        <w:t xml:space="preserve">fulgor </w:t>
      </w:r>
      <w:r>
        <w:t xml:space="preserve">al acontecimiento de verdad que surge en el umbral de lo “oscuro” y de la “claridad”. Llamaré </w:t>
      </w:r>
      <w:r>
        <w:rPr>
          <w:i/>
        </w:rPr>
        <w:t xml:space="preserve">fulgor </w:t>
      </w:r>
      <w:r>
        <w:t xml:space="preserve">al advenimiento del “realismo impracticable” que constituye ese bajo relieve plegado de la tumba de </w:t>
      </w:r>
      <w:proofErr w:type="spellStart"/>
      <w:r>
        <w:t>Leyde</w:t>
      </w:r>
      <w:proofErr w:type="spellEnd"/>
      <w:r>
        <w:t xml:space="preserve">. El fulgor no es ni la oscuridad ni la luz, sino lo improbable en su encuentro, de su umbral, el momento de su reversión conjunta, el </w:t>
      </w:r>
      <w:r>
        <w:rPr>
          <w:i/>
        </w:rPr>
        <w:t xml:space="preserve">relámpago </w:t>
      </w:r>
      <w:r>
        <w:t>de su inversión” (Georges Didi-</w:t>
      </w:r>
      <w:proofErr w:type="spellStart"/>
      <w:r>
        <w:t>Huberman</w:t>
      </w:r>
      <w:proofErr w:type="spellEnd"/>
      <w:r>
        <w:t xml:space="preserve">: </w:t>
      </w:r>
      <w:proofErr w:type="spellStart"/>
      <w:r>
        <w:rPr>
          <w:i/>
        </w:rPr>
        <w:t>Fasmas</w:t>
      </w:r>
      <w:proofErr w:type="spellEnd"/>
      <w:r>
        <w:rPr>
          <w:i/>
        </w:rPr>
        <w:t xml:space="preserve">. Ensayos sobre la aparición, </w:t>
      </w:r>
      <w:r>
        <w:t xml:space="preserve">Ed. </w:t>
      </w:r>
      <w:proofErr w:type="spellStart"/>
      <w:r>
        <w:t>Shangrila</w:t>
      </w:r>
      <w:proofErr w:type="spellEnd"/>
      <w:r>
        <w:t>, Santander, 2015, p. 215).</w:t>
      </w:r>
    </w:p>
  </w:footnote>
  <w:footnote w:id="30">
    <w:p w14:paraId="4E06CCCC" w14:textId="36F78A06" w:rsidR="005D7209" w:rsidRDefault="005D7209" w:rsidP="009D072D">
      <w:pPr>
        <w:pStyle w:val="Textonotapie"/>
      </w:pPr>
      <w:r>
        <w:rPr>
          <w:rStyle w:val="Refdenotaalpie"/>
        </w:rPr>
        <w:footnoteRef/>
      </w:r>
      <w:r>
        <w:t xml:space="preserve"> “Lacan insistió mucho sobre la “elisión de la mirada en estado de vigilia”: en estado de vigilia, la mirada se nos sustrae de manera perpetua, es puesta entre paréntesis. Si la pintura es materia de cosas para la mirada –y no solamente de cosas que hay que ver</w:t>
      </w:r>
      <w:r>
        <w:rPr>
          <w:lang w:val="es-ES"/>
        </w:rPr>
        <w:t>–</w:t>
      </w:r>
      <w:r>
        <w:t>, entonces hemos de reconocer una dificultad mayor, e incluso una aporía. Para mirar de verdad un cuadro, habría que poder mirarlo mientras dormimos… lo que, por supuesto, es imposible” (Georges Didi-</w:t>
      </w:r>
      <w:proofErr w:type="spellStart"/>
      <w:r>
        <w:t>Huberman</w:t>
      </w:r>
      <w:proofErr w:type="spellEnd"/>
      <w:r>
        <w:t xml:space="preserve">: </w:t>
      </w:r>
      <w:proofErr w:type="spellStart"/>
      <w:r>
        <w:rPr>
          <w:i/>
        </w:rPr>
        <w:t>Fasmas</w:t>
      </w:r>
      <w:proofErr w:type="spellEnd"/>
      <w:r>
        <w:rPr>
          <w:i/>
        </w:rPr>
        <w:t xml:space="preserve">. Ensayos sobre la aparición, </w:t>
      </w:r>
      <w:r>
        <w:t xml:space="preserve">Ed. </w:t>
      </w:r>
      <w:proofErr w:type="spellStart"/>
      <w:r>
        <w:t>Shangrila</w:t>
      </w:r>
      <w:proofErr w:type="spellEnd"/>
      <w:r>
        <w:t>, Santander, 2015, p. 99).</w:t>
      </w:r>
    </w:p>
  </w:footnote>
  <w:footnote w:id="31">
    <w:p w14:paraId="62509C9F" w14:textId="1979BB80" w:rsidR="005D7209" w:rsidRPr="00E43ACC" w:rsidRDefault="005D7209">
      <w:pPr>
        <w:pStyle w:val="Textonotapie"/>
      </w:pPr>
      <w:r>
        <w:rPr>
          <w:rStyle w:val="Refdenotaalpie"/>
        </w:rPr>
        <w:footnoteRef/>
      </w:r>
      <w:r>
        <w:t xml:space="preserve"> W. J.T. Mitchell: </w:t>
      </w:r>
      <w:r>
        <w:rPr>
          <w:i/>
        </w:rPr>
        <w:t xml:space="preserve">¿Qué quieren las imágenes? Una crítica de la cultura visual, </w:t>
      </w:r>
      <w:r>
        <w:t xml:space="preserve">Ed. Sans </w:t>
      </w:r>
      <w:proofErr w:type="spellStart"/>
      <w:r>
        <w:t>Soleil</w:t>
      </w:r>
      <w:proofErr w:type="spellEnd"/>
      <w:r>
        <w:t>, Bilbao, 2017, p. 300.</w:t>
      </w:r>
    </w:p>
  </w:footnote>
  <w:footnote w:id="32">
    <w:p w14:paraId="492882A6" w14:textId="25614223" w:rsidR="005D7209" w:rsidRPr="00C02AAD" w:rsidRDefault="005D7209" w:rsidP="008F2848">
      <w:pPr>
        <w:pStyle w:val="Textonotapie"/>
        <w:rPr>
          <w:lang w:val="es-ES"/>
        </w:rPr>
      </w:pPr>
      <w:r>
        <w:rPr>
          <w:rStyle w:val="Refdenotaalpie"/>
        </w:rPr>
        <w:footnoteRef/>
      </w:r>
      <w:r>
        <w:t xml:space="preserve"> </w:t>
      </w:r>
      <w:r>
        <w:rPr>
          <w:lang w:val="es-ES"/>
        </w:rPr>
        <w:t xml:space="preserve">“La traducción [de </w:t>
      </w:r>
      <w:r>
        <w:rPr>
          <w:i/>
          <w:lang w:val="es-ES"/>
        </w:rPr>
        <w:t>carpe diem</w:t>
      </w:r>
      <w:r>
        <w:rPr>
          <w:lang w:val="es-ES"/>
        </w:rPr>
        <w:t xml:space="preserve">, una expresión que encontramos en una oda de Horacio] es más difícil de lo que parece: disfruta del momento, goza del presente… dicho así suena demasiado a esos lemas publicitarios que instan a correr mucho. La frase se popularizó en boca del protagonista de una película de éxito. </w:t>
      </w:r>
      <w:r>
        <w:rPr>
          <w:i/>
          <w:lang w:val="es-ES"/>
        </w:rPr>
        <w:t>El club de los poetas muertos</w:t>
      </w:r>
      <w:r>
        <w:rPr>
          <w:lang w:val="es-ES"/>
        </w:rPr>
        <w:t xml:space="preserve">, que la completaba con un: “¡Haced algo extraordinario de vuestras vidas!”, un énfasis más de Robin Williams que de Horacio. En latín, </w:t>
      </w:r>
      <w:r>
        <w:rPr>
          <w:i/>
          <w:lang w:val="es-ES"/>
        </w:rPr>
        <w:t xml:space="preserve">carpe </w:t>
      </w:r>
      <w:r>
        <w:rPr>
          <w:lang w:val="es-ES"/>
        </w:rPr>
        <w:t xml:space="preserve">es el imperativo de un verbo que alude en primera acepción a coger una fruta. Una, no una cosecha: la fruta madura de ese día –o el día mismo, </w:t>
      </w:r>
      <w:r>
        <w:rPr>
          <w:i/>
          <w:lang w:val="es-ES"/>
        </w:rPr>
        <w:t xml:space="preserve">diem, </w:t>
      </w:r>
      <w:r>
        <w:rPr>
          <w:lang w:val="es-ES"/>
        </w:rPr>
        <w:t xml:space="preserve">una fruta madura en sí misma–. Sin prisas: mañana madurará otra y si estás ahí, podrás cogerla. No se trata de vivir intensamente el momento como si no hubiese mañana. Es probable que lo haya, pero frenesí por frenesí, hay que evitar sobre todo el frenesí de la previsión y no especular en el mercado de futuros. Horacio no era un extremista, no por acaso otra de sus odas famosas es una que elogia la </w:t>
      </w:r>
      <w:r>
        <w:rPr>
          <w:i/>
          <w:lang w:val="es-ES"/>
        </w:rPr>
        <w:t>aurea mediocritas</w:t>
      </w:r>
      <w:r>
        <w:rPr>
          <w:lang w:val="es-ES"/>
        </w:rPr>
        <w:t>; cómo iba a saber que con el tiempo su frase se volvería un lema radical en dos sentidos opuestos” (</w:t>
      </w:r>
      <w:r>
        <w:t xml:space="preserve">Óscar </w:t>
      </w:r>
      <w:proofErr w:type="spellStart"/>
      <w:r>
        <w:t>Calavia</w:t>
      </w:r>
      <w:proofErr w:type="spellEnd"/>
      <w:r>
        <w:t xml:space="preserve">: </w:t>
      </w:r>
      <w:r>
        <w:rPr>
          <w:i/>
        </w:rPr>
        <w:t xml:space="preserve">Basura. Ensayo sobre la civilización del desecho, </w:t>
      </w:r>
      <w:r>
        <w:t>Ed. Pepitas de Calabaza, Logroño, 2020, pp. 74-75).</w:t>
      </w:r>
      <w:r>
        <w:rPr>
          <w:lang w:val="es-ES"/>
        </w:rPr>
        <w:t xml:space="preserve"> </w:t>
      </w:r>
    </w:p>
  </w:footnote>
  <w:footnote w:id="33">
    <w:p w14:paraId="3228F63E" w14:textId="77777777" w:rsidR="005D7209" w:rsidRPr="003C3637" w:rsidRDefault="005D7209" w:rsidP="008F2848">
      <w:pPr>
        <w:pStyle w:val="Textonotapie"/>
        <w:rPr>
          <w:lang w:val="es-ES"/>
        </w:rPr>
      </w:pPr>
      <w:r>
        <w:rPr>
          <w:rStyle w:val="Refdenotaalpie"/>
        </w:rPr>
        <w:footnoteRef/>
      </w:r>
      <w:r>
        <w:t xml:space="preserve"> </w:t>
      </w:r>
      <w:proofErr w:type="spellStart"/>
      <w:r>
        <w:rPr>
          <w:lang w:val="es-ES"/>
        </w:rPr>
        <w:t>Julian</w:t>
      </w:r>
      <w:proofErr w:type="spellEnd"/>
      <w:r>
        <w:rPr>
          <w:lang w:val="es-ES"/>
        </w:rPr>
        <w:t xml:space="preserve"> Barnes: </w:t>
      </w:r>
      <w:r>
        <w:rPr>
          <w:i/>
          <w:lang w:val="es-ES"/>
        </w:rPr>
        <w:t xml:space="preserve">Con los ojos bien abiertos. Ensayos sobre arte, </w:t>
      </w:r>
      <w:r>
        <w:rPr>
          <w:lang w:val="es-ES"/>
        </w:rPr>
        <w:t>Ed. Anagrama, Barcelona, 2018, p. 13.</w:t>
      </w:r>
    </w:p>
  </w:footnote>
  <w:footnote w:id="34">
    <w:p w14:paraId="445BC9A3" w14:textId="77777777" w:rsidR="005D7209" w:rsidRDefault="005D7209" w:rsidP="006168C1">
      <w:pPr>
        <w:pStyle w:val="Textonotapie"/>
      </w:pPr>
      <w:r>
        <w:rPr>
          <w:rStyle w:val="Refdenotaalpie"/>
        </w:rPr>
        <w:footnoteRef/>
      </w:r>
      <w:r>
        <w:t xml:space="preserve"> Jean-Christophe Bailly: </w:t>
      </w:r>
      <w:r>
        <w:rPr>
          <w:i/>
          <w:iCs/>
        </w:rPr>
        <w:t xml:space="preserve">La llamada muda. Los retratos de El Fayum, </w:t>
      </w:r>
      <w:r>
        <w:t>Ed. Akal, Madrid, 2001, pp. 123-124.</w:t>
      </w:r>
    </w:p>
  </w:footnote>
  <w:footnote w:id="35">
    <w:p w14:paraId="105350B4" w14:textId="77777777" w:rsidR="005D7209" w:rsidRDefault="005D7209" w:rsidP="006168C1">
      <w:pPr>
        <w:pStyle w:val="Textonotapie"/>
      </w:pPr>
      <w:r>
        <w:rPr>
          <w:rStyle w:val="Refdenotaalpie"/>
        </w:rPr>
        <w:footnoteRef/>
      </w:r>
      <w:r>
        <w:t xml:space="preserve"> Cfr. al respecto Carolyn </w:t>
      </w:r>
      <w:proofErr w:type="spellStart"/>
      <w:r>
        <w:t>Korsmeyer</w:t>
      </w:r>
      <w:proofErr w:type="spellEnd"/>
      <w:r>
        <w:t xml:space="preserve">: </w:t>
      </w:r>
      <w:r>
        <w:rPr>
          <w:i/>
          <w:iCs/>
        </w:rPr>
        <w:t xml:space="preserve">El sentido del gusto. Comida, estética y filosofía, </w:t>
      </w:r>
      <w:r>
        <w:t>Ed. Paidós, Barcelona, 2002, pp. 222-223.</w:t>
      </w:r>
    </w:p>
  </w:footnote>
  <w:footnote w:id="36">
    <w:p w14:paraId="674BBEBD" w14:textId="77777777" w:rsidR="005D7209" w:rsidRDefault="005D7209" w:rsidP="006168C1">
      <w:pPr>
        <w:pStyle w:val="Textonotapie"/>
      </w:pPr>
      <w:r>
        <w:rPr>
          <w:rStyle w:val="Refdenotaalpie"/>
        </w:rPr>
        <w:footnoteRef/>
      </w:r>
      <w:r>
        <w:t xml:space="preserve"> Ernst H. Gombrich: “Tradición y expresión en la naturaleza muerta occidental” en </w:t>
      </w:r>
      <w:r>
        <w:rPr>
          <w:i/>
          <w:iCs/>
        </w:rPr>
        <w:t xml:space="preserve">Meditaciones sobre un caballo de juguete. Y otros ensayos sobre la teoría del arte, </w:t>
      </w:r>
      <w:r>
        <w:t>Ed. Debate, Barcelona, 1998, p. 104.</w:t>
      </w:r>
    </w:p>
  </w:footnote>
  <w:footnote w:id="37">
    <w:p w14:paraId="078BEA1E" w14:textId="15438C42" w:rsidR="005D7209" w:rsidRDefault="005D7209" w:rsidP="00FA2A9C">
      <w:pPr>
        <w:pStyle w:val="Textonotapie"/>
      </w:pPr>
      <w:r>
        <w:rPr>
          <w:rStyle w:val="Refdenotaalpie"/>
        </w:rPr>
        <w:footnoteRef/>
      </w:r>
      <w:r>
        <w:t xml:space="preserve"> “La forma más extrema de mensaje moral ofrecida por la naturaleza muerta se encuentra en la pintura de </w:t>
      </w:r>
      <w:r>
        <w:rPr>
          <w:i/>
          <w:iCs/>
        </w:rPr>
        <w:t>vanitas</w:t>
      </w:r>
      <w:r>
        <w:t>, llamada así según las palabras iniciales del Eclesiastés: “</w:t>
      </w:r>
      <w:r>
        <w:rPr>
          <w:i/>
          <w:iCs/>
        </w:rPr>
        <w:t xml:space="preserve">Vanitas </w:t>
      </w:r>
      <w:proofErr w:type="spellStart"/>
      <w:r>
        <w:rPr>
          <w:i/>
          <w:iCs/>
        </w:rPr>
        <w:t>vanitatis</w:t>
      </w:r>
      <w:proofErr w:type="spellEnd"/>
      <w:r>
        <w:rPr>
          <w:i/>
          <w:iCs/>
        </w:rPr>
        <w:t xml:space="preserve">, et </w:t>
      </w:r>
      <w:proofErr w:type="spellStart"/>
      <w:r>
        <w:rPr>
          <w:i/>
          <w:iCs/>
        </w:rPr>
        <w:t>omnia</w:t>
      </w:r>
      <w:proofErr w:type="spellEnd"/>
      <w:r>
        <w:rPr>
          <w:i/>
          <w:iCs/>
        </w:rPr>
        <w:t xml:space="preserve"> vanitas</w:t>
      </w:r>
      <w:r>
        <w:t xml:space="preserve">” [“Vanidad de vanidades, todo es vanidad”]. El detalle que suele delatar que estamos en presencia de una pintura de </w:t>
      </w:r>
      <w:r>
        <w:rPr>
          <w:i/>
          <w:iCs/>
        </w:rPr>
        <w:t xml:space="preserve">vanitas </w:t>
      </w:r>
      <w:r>
        <w:t xml:space="preserve">es la presencia de un cráneo humano, aunque abundan otros símbolos de la temporalidad de la vida y de la futilidad de los esfuerzos humanos: velas que se desvanecen, lánguidas flores, frutas podridas y panes rancios, relojes de arena, burbujas de jabón, lámparas de aceite, monedas, globos terráqueos y celestiales... En muchas pinturas de </w:t>
      </w:r>
      <w:r>
        <w:rPr>
          <w:i/>
          <w:iCs/>
        </w:rPr>
        <w:t xml:space="preserve">vanitas </w:t>
      </w:r>
      <w:r>
        <w:t>no aparece la comida en absoluto. Suelen agrupar varios símbolos de esfuerzo humano –libros, instrumentos científicos</w:t>
      </w:r>
      <w:r>
        <w:rPr>
          <w:lang w:val="es-ES"/>
        </w:rPr>
        <w:t>–</w:t>
      </w:r>
      <w:r>
        <w:t xml:space="preserve"> y de los placeres humanos –pipas, barajas, instrumentos musicales</w:t>
      </w:r>
      <w:r>
        <w:rPr>
          <w:lang w:val="es-ES"/>
        </w:rPr>
        <w:t>–</w:t>
      </w:r>
      <w:r>
        <w:t xml:space="preserve">. Estos objetos, en combinación con los símbolos de la mortalidad, suscitan en el espectador una idea de la futilidad de los esfuerzos humanos en una vida tan corta” (Carolyn </w:t>
      </w:r>
      <w:proofErr w:type="spellStart"/>
      <w:r>
        <w:t>Korsmeyer</w:t>
      </w:r>
      <w:proofErr w:type="spellEnd"/>
      <w:r>
        <w:t xml:space="preserve">: </w:t>
      </w:r>
      <w:r>
        <w:rPr>
          <w:i/>
          <w:iCs/>
        </w:rPr>
        <w:t xml:space="preserve">El sentido del gusto. Comida, estética y filosofía, </w:t>
      </w:r>
      <w:r>
        <w:t>Ed. Paidós, Barcelona, 2002, pp. 221-222).</w:t>
      </w:r>
    </w:p>
  </w:footnote>
  <w:footnote w:id="38">
    <w:p w14:paraId="1DA13679" w14:textId="77777777" w:rsidR="005D7209" w:rsidRDefault="005D7209" w:rsidP="00FA2A9C">
      <w:pPr>
        <w:pStyle w:val="Textonotapie"/>
      </w:pPr>
      <w:r>
        <w:rPr>
          <w:rStyle w:val="Refdenotaalpie"/>
        </w:rPr>
        <w:footnoteRef/>
      </w:r>
      <w:r>
        <w:t xml:space="preserve"> “Un importante grupo de naturalezas muertas cuyo sentido general difícilmente pasa inadvertido es el de las </w:t>
      </w:r>
      <w:r>
        <w:rPr>
          <w:i/>
          <w:iCs/>
        </w:rPr>
        <w:t>vanitas</w:t>
      </w:r>
      <w:r>
        <w:t xml:space="preserve">, con objetos asociados a la caducidad y a la muerte, como una calavera, un reloj de arena con las manillas en las once o llegando a las doce, una vela casi consumida o una pompa de jabón” (Sam Segal: “Sobre la naturaleza muerta en los Países Bajos” en </w:t>
      </w:r>
      <w:r>
        <w:rPr>
          <w:i/>
          <w:iCs/>
        </w:rPr>
        <w:t xml:space="preserve">El Bodegón, </w:t>
      </w:r>
      <w:r>
        <w:t xml:space="preserve">Ed. Galaxia Gutenberg, Círculo de Lectores, Barcelona, 2000, pp. 1998-199. </w:t>
      </w:r>
    </w:p>
  </w:footnote>
  <w:footnote w:id="39">
    <w:p w14:paraId="4CB394ED" w14:textId="77777777" w:rsidR="005D7209" w:rsidRDefault="005D7209" w:rsidP="00FA2A9C">
      <w:pPr>
        <w:pStyle w:val="Textonotapie"/>
      </w:pPr>
      <w:r>
        <w:rPr>
          <w:rStyle w:val="Refdenotaalpie"/>
        </w:rPr>
        <w:footnoteRef/>
      </w:r>
      <w:r>
        <w:t xml:space="preserve"> “No es extraño que ese poder del arte para perpetuar el goce sensible provocara, en los ánimos religiosos, la necesidad de impedir tan pecaminosas inclinaciones. El motivo de la </w:t>
      </w:r>
      <w:r>
        <w:rPr>
          <w:i/>
          <w:iCs/>
        </w:rPr>
        <w:t xml:space="preserve">vanitas, </w:t>
      </w:r>
      <w:r>
        <w:t xml:space="preserve">como vio </w:t>
      </w:r>
      <w:proofErr w:type="spellStart"/>
      <w:r>
        <w:t>Sterling</w:t>
      </w:r>
      <w:proofErr w:type="spellEnd"/>
      <w:r>
        <w:t xml:space="preserve">, hará inocuo el banquete: “El espíritu puritano se cernía sobre todo ello, llamando a la sobriedad: de ahí el reloj que tantas veces hallamos, simbolizando la templanza, y que de otro modo parecería fuera de lugar entre los alimentos amontonados y los objetos preciosos de la naturaleza muerta holandesa”. Pero por útiles que sean esas coartadas emblemáticas, no son realmente necesarias. Pues toda naturaleza muerta lleva el motivo de la </w:t>
      </w:r>
      <w:r>
        <w:rPr>
          <w:i/>
          <w:iCs/>
        </w:rPr>
        <w:t xml:space="preserve">vanitas </w:t>
      </w:r>
      <w:r>
        <w:t xml:space="preserve">“incorporado”, como quien dice, para quienes quieren mirarlo” (Ernst H. Gombrich: “Tradición y expresión en la naturaleza muerta occidental” en </w:t>
      </w:r>
      <w:r>
        <w:rPr>
          <w:i/>
          <w:iCs/>
        </w:rPr>
        <w:t xml:space="preserve">Meditaciones sobre un caballo de juguete. Y otros ensayos sobre la teoría del arte, </w:t>
      </w:r>
      <w:r>
        <w:t>Ed. Destino, Barcelona, 1998, p. 104).</w:t>
      </w:r>
    </w:p>
  </w:footnote>
  <w:footnote w:id="40">
    <w:p w14:paraId="20652131" w14:textId="77777777" w:rsidR="005D7209" w:rsidRDefault="005D7209" w:rsidP="00FA2A9C">
      <w:pPr>
        <w:pStyle w:val="Textonotapie"/>
      </w:pPr>
      <w:r>
        <w:rPr>
          <w:rStyle w:val="Refdenotaalpie"/>
        </w:rPr>
        <w:footnoteRef/>
      </w:r>
      <w:r>
        <w:t xml:space="preserve"> “Uno de los temas a destacar dentro del género del bodegón es el de la </w:t>
      </w:r>
      <w:r>
        <w:rPr>
          <w:i/>
          <w:iCs/>
        </w:rPr>
        <w:t>vanitas</w:t>
      </w:r>
      <w:r>
        <w:t xml:space="preserve">, es decir, la naturaleza muerta con contenido moral, el cual empieza a desarrollarse de manera autónoma, hacia la primera mitad del siglo XVII y cuyo principal objetivo es inducir a la reflexión del transcurrir inexorable del tiempo, la fugacidad de los bienes terrenales, la caducidad de los placeres, en suma, de la brevedad de la vida, idea de gran arraigo en el sentir religioso de la España de la época” (Fernando Checa: “El bodegón en el Museo del Prado” en </w:t>
      </w:r>
      <w:r>
        <w:rPr>
          <w:i/>
          <w:iCs/>
        </w:rPr>
        <w:t xml:space="preserve">El Bodegón, </w:t>
      </w:r>
      <w:r>
        <w:t>Ed. Galaxia Gutenberg, Círculo de Lectores, Barcelona, 2000,p. 12).</w:t>
      </w:r>
    </w:p>
  </w:footnote>
  <w:footnote w:id="41">
    <w:p w14:paraId="62B70727" w14:textId="77777777" w:rsidR="005D7209" w:rsidRDefault="005D7209" w:rsidP="00FA2A9C">
      <w:pPr>
        <w:pStyle w:val="Textonotapie"/>
      </w:pPr>
      <w:r>
        <w:rPr>
          <w:rStyle w:val="Refdenotaalpie"/>
        </w:rPr>
        <w:footnoteRef/>
      </w:r>
      <w:r>
        <w:t xml:space="preserve"> Remo </w:t>
      </w:r>
      <w:proofErr w:type="spellStart"/>
      <w:r>
        <w:t>Bodei</w:t>
      </w:r>
      <w:proofErr w:type="spellEnd"/>
      <w:r>
        <w:t xml:space="preserve">: </w:t>
      </w:r>
      <w:r>
        <w:rPr>
          <w:i/>
          <w:iCs/>
        </w:rPr>
        <w:t xml:space="preserve">Una geometría de las pasiones, </w:t>
      </w:r>
      <w:r>
        <w:t xml:space="preserve">Ed. </w:t>
      </w:r>
      <w:proofErr w:type="spellStart"/>
      <w:r>
        <w:t>Muchnik</w:t>
      </w:r>
      <w:proofErr w:type="spellEnd"/>
      <w:r>
        <w:t>, Barcelona, 1995, p. 166.</w:t>
      </w:r>
    </w:p>
  </w:footnote>
  <w:footnote w:id="42">
    <w:p w14:paraId="3D1ACB32" w14:textId="77777777" w:rsidR="005D7209" w:rsidRPr="00587622" w:rsidRDefault="005D7209" w:rsidP="00234FB9">
      <w:pPr>
        <w:pStyle w:val="Textonotapie"/>
      </w:pPr>
      <w:r>
        <w:rPr>
          <w:rStyle w:val="Refdenotaalpie"/>
        </w:rPr>
        <w:footnoteRef/>
      </w:r>
      <w:r w:rsidRPr="00587622">
        <w:t xml:space="preserve"> “Se trata de liberación, se trata de la </w:t>
      </w:r>
      <w:proofErr w:type="spellStart"/>
      <w:r w:rsidRPr="00587622">
        <w:t>desfetichización</w:t>
      </w:r>
      <w:proofErr w:type="spellEnd"/>
      <w:r w:rsidRPr="00587622">
        <w:t xml:space="preserve"> de los modos de comportamiento. Se trata de des</w:t>
      </w:r>
      <w:r>
        <w:t xml:space="preserve">truir el tabú de los materiales. En los happenings se busca que los materiales sean usados de un modo distinto a como lo son en la vida cotidiana. Con una plancha y con un automóvil pueden hacerse otras cosas que no sean sólo conducir el automóvil y planchar la ropa. Y esto puede aprenderse, por ejemplo, en el happening. En el happening uno debe aprender a conocerse a sí mismo. Debe aprender a conocer de nuevo los materiales, puede aprender de nuevo la variedad de usos y la variedad de contenidos de la propia conducta y del comportamiento con los objetos” (Wolf Vostell: “Interrogatorio de Wolf Vostell (1973)” reproducido en Simón </w:t>
      </w:r>
      <w:proofErr w:type="spellStart"/>
      <w:r>
        <w:t>Marchán</w:t>
      </w:r>
      <w:proofErr w:type="spellEnd"/>
      <w:r>
        <w:t xml:space="preserve"> </w:t>
      </w:r>
      <w:proofErr w:type="spellStart"/>
      <w:r>
        <w:t>Fiz</w:t>
      </w:r>
      <w:proofErr w:type="spellEnd"/>
      <w:r>
        <w:t xml:space="preserve">: </w:t>
      </w:r>
      <w:r>
        <w:rPr>
          <w:i/>
        </w:rPr>
        <w:t>Del arte objetual al arte de concepto</w:t>
      </w:r>
      <w:r>
        <w:t>, Ed. Akal, Madrid, 1986, p. 398).</w:t>
      </w:r>
    </w:p>
  </w:footnote>
  <w:footnote w:id="43">
    <w:p w14:paraId="47F20060" w14:textId="77777777" w:rsidR="005D7209" w:rsidRDefault="005D7209" w:rsidP="00234FB9">
      <w:pPr>
        <w:pStyle w:val="Textonotapie"/>
      </w:pPr>
      <w:r>
        <w:rPr>
          <w:rStyle w:val="Refdenotaalpie"/>
        </w:rPr>
        <w:footnoteRef/>
      </w:r>
      <w:r>
        <w:t xml:space="preserve"> En su “Sinopsis del Happening” (1976), Vostell planteaba los siguientes objetivos vitales:</w:t>
      </w:r>
    </w:p>
    <w:p w14:paraId="2A053A18" w14:textId="77777777" w:rsidR="005D7209" w:rsidRDefault="005D7209" w:rsidP="00234FB9">
      <w:pPr>
        <w:pStyle w:val="Textonotapie"/>
      </w:pPr>
      <w:r>
        <w:t>CREATIVIDAD como medio de supresión de la violencia</w:t>
      </w:r>
    </w:p>
    <w:p w14:paraId="25926EAE" w14:textId="77777777" w:rsidR="005D7209" w:rsidRDefault="005D7209" w:rsidP="00234FB9">
      <w:pPr>
        <w:pStyle w:val="Textonotapie"/>
      </w:pPr>
      <w:r>
        <w:t>MULTIMEDIA como medio de supresión de la inferioridad.</w:t>
      </w:r>
    </w:p>
    <w:p w14:paraId="7DACD961" w14:textId="77777777" w:rsidR="005D7209" w:rsidRDefault="005D7209" w:rsidP="00234FB9">
      <w:pPr>
        <w:pStyle w:val="Textonotapie"/>
      </w:pPr>
      <w:r>
        <w:t>PSICOESTÉTICA como medio de revalorización de la producción espiritual con respecto a la manual.</w:t>
      </w:r>
    </w:p>
    <w:p w14:paraId="6B1C6C13" w14:textId="77777777" w:rsidR="005D7209" w:rsidRDefault="005D7209" w:rsidP="00234FB9">
      <w:pPr>
        <w:pStyle w:val="Textonotapie"/>
      </w:pPr>
      <w:r>
        <w:t>VER como medio de percepción de lo no perceptible.</w:t>
      </w:r>
    </w:p>
    <w:p w14:paraId="3C6B0F43" w14:textId="77777777" w:rsidR="005D7209" w:rsidRDefault="005D7209" w:rsidP="00234FB9">
      <w:pPr>
        <w:pStyle w:val="Textonotapie"/>
      </w:pPr>
      <w:r>
        <w:t>VIVIR como medio de generación concebida como obra de arte.</w:t>
      </w:r>
    </w:p>
    <w:p w14:paraId="723548A4" w14:textId="77777777" w:rsidR="005D7209" w:rsidRDefault="005D7209" w:rsidP="00234FB9">
      <w:pPr>
        <w:pStyle w:val="Textonotapie"/>
      </w:pPr>
      <w:r>
        <w:t>APRENDER como medio para conseguir la continuidad de los flujos energéticos.</w:t>
      </w:r>
    </w:p>
    <w:p w14:paraId="0130AA7A" w14:textId="77777777" w:rsidR="005D7209" w:rsidRPr="002A460E" w:rsidRDefault="005D7209" w:rsidP="00234FB9">
      <w:pPr>
        <w:pStyle w:val="Textonotapie"/>
        <w:rPr>
          <w:lang w:val="en-US"/>
        </w:rPr>
      </w:pPr>
      <w:r>
        <w:t xml:space="preserve">Cfr. José Antonio Agúndez García: “Un viaje a la utopía. La novedad de los happenings de Wolf Vostell” en </w:t>
      </w:r>
      <w:r>
        <w:rPr>
          <w:i/>
        </w:rPr>
        <w:t xml:space="preserve">El teatro está en la calle. </w:t>
      </w:r>
      <w:r w:rsidRPr="002A460E">
        <w:rPr>
          <w:i/>
          <w:lang w:val="en-US"/>
        </w:rPr>
        <w:t xml:space="preserve">Los Happenings de Wolf </w:t>
      </w:r>
      <w:proofErr w:type="spellStart"/>
      <w:r w:rsidRPr="002A460E">
        <w:rPr>
          <w:i/>
          <w:lang w:val="en-US"/>
        </w:rPr>
        <w:t>Vostell</w:t>
      </w:r>
      <w:proofErr w:type="spellEnd"/>
      <w:r w:rsidRPr="002A460E">
        <w:rPr>
          <w:i/>
          <w:lang w:val="en-US"/>
        </w:rPr>
        <w:t xml:space="preserve">, </w:t>
      </w:r>
      <w:r w:rsidRPr="002A460E">
        <w:rPr>
          <w:lang w:val="en-US"/>
        </w:rPr>
        <w:t xml:space="preserve">Ed. Kerber Art, Museum </w:t>
      </w:r>
      <w:proofErr w:type="spellStart"/>
      <w:r w:rsidRPr="002A460E">
        <w:rPr>
          <w:lang w:val="en-US"/>
        </w:rPr>
        <w:t>Morsbroich</w:t>
      </w:r>
      <w:proofErr w:type="spellEnd"/>
      <w:r w:rsidRPr="002A460E">
        <w:rPr>
          <w:lang w:val="en-US"/>
        </w:rPr>
        <w:t xml:space="preserve">, Leverkusen, Museo </w:t>
      </w:r>
      <w:proofErr w:type="spellStart"/>
      <w:r w:rsidRPr="002A460E">
        <w:rPr>
          <w:lang w:val="en-US"/>
        </w:rPr>
        <w:t>Vostell</w:t>
      </w:r>
      <w:proofErr w:type="spellEnd"/>
      <w:r w:rsidRPr="002A460E">
        <w:rPr>
          <w:lang w:val="en-US"/>
        </w:rPr>
        <w:t xml:space="preserve"> Malpartida, </w:t>
      </w:r>
      <w:r>
        <w:rPr>
          <w:lang w:val="en-US"/>
        </w:rPr>
        <w:t xml:space="preserve">2010-2011, </w:t>
      </w:r>
      <w:r w:rsidRPr="002A460E">
        <w:rPr>
          <w:lang w:val="en-US"/>
        </w:rPr>
        <w:t>pp. 63-71.</w:t>
      </w:r>
    </w:p>
  </w:footnote>
  <w:footnote w:id="44">
    <w:p w14:paraId="4308B734" w14:textId="77777777" w:rsidR="005D7209" w:rsidRDefault="005D7209" w:rsidP="00234FB9">
      <w:pPr>
        <w:pStyle w:val="Textonotapie"/>
      </w:pPr>
      <w:r>
        <w:rPr>
          <w:rStyle w:val="Refdenotaalpie"/>
        </w:rPr>
        <w:footnoteRef/>
      </w:r>
      <w:r>
        <w:t xml:space="preserve"> “Las transferencias y transacciones, ya sean pacíficas o violentas, amistosas u hostiles, “vienen con el territorio” de las formaciones fronterizas, y la traslación debe considerarse simplemente un caso especial de lo “trans”, entendido en este caso como el cruce de fronteras entre idiomas. Bajo lo “trans”, entonces querríamos incluir no sólo las palabras sino el dinero, las mercancías y los organismos. Las relaciones “trans” incluyen el comercio, la diplomacia, las negociaciones y las migraciones de seres vivos, incluidos, entre otros, las personas” (W.J.T. Mitchell: </w:t>
      </w:r>
      <w:r>
        <w:rPr>
          <w:i/>
        </w:rPr>
        <w:t xml:space="preserve">De la ciencia de la imagen. Iconología, cultura visual y estética de los medios, </w:t>
      </w:r>
      <w:r>
        <w:t>Ed. Akal, Madrid, 2019, pp. 160-161).</w:t>
      </w:r>
    </w:p>
  </w:footnote>
  <w:footnote w:id="45">
    <w:p w14:paraId="4069182A" w14:textId="77777777" w:rsidR="005D7209" w:rsidRPr="00234FB9" w:rsidRDefault="005D7209" w:rsidP="00234FB9">
      <w:pPr>
        <w:pStyle w:val="Textonotapie"/>
      </w:pPr>
      <w:r>
        <w:rPr>
          <w:rStyle w:val="Refdenotaalpie"/>
        </w:rPr>
        <w:footnoteRef/>
      </w:r>
      <w:r w:rsidRPr="00275864">
        <w:rPr>
          <w:lang w:val="en-US"/>
        </w:rPr>
        <w:t xml:space="preserve"> </w:t>
      </w:r>
      <w:proofErr w:type="spellStart"/>
      <w:r w:rsidRPr="00275864">
        <w:rPr>
          <w:lang w:val="en-US"/>
        </w:rPr>
        <w:t>Cfr</w:t>
      </w:r>
      <w:proofErr w:type="spellEnd"/>
      <w:r w:rsidRPr="00275864">
        <w:rPr>
          <w:lang w:val="en-US"/>
        </w:rPr>
        <w:t xml:space="preserve">. D.W. Winnicott: </w:t>
      </w:r>
      <w:r w:rsidRPr="00275864">
        <w:rPr>
          <w:i/>
          <w:lang w:val="en-US"/>
        </w:rPr>
        <w:t xml:space="preserve">Playing and Reality, </w:t>
      </w:r>
      <w:r>
        <w:rPr>
          <w:lang w:val="en-US"/>
        </w:rPr>
        <w:t xml:space="preserve">Ed. </w:t>
      </w:r>
      <w:r w:rsidRPr="00234FB9">
        <w:t>Routledge, Londres, 1971.</w:t>
      </w:r>
    </w:p>
  </w:footnote>
  <w:footnote w:id="46">
    <w:p w14:paraId="1AD0D322" w14:textId="77777777" w:rsidR="005D7209" w:rsidRPr="00887EF0" w:rsidRDefault="005D7209" w:rsidP="00234FB9">
      <w:pPr>
        <w:pStyle w:val="Textonotapie"/>
      </w:pPr>
      <w:r>
        <w:rPr>
          <w:rStyle w:val="Refdenotaalpie"/>
        </w:rPr>
        <w:footnoteRef/>
      </w:r>
      <w:r>
        <w:t xml:space="preserve"> “El paso de la posibilidad a la existencia real implica un estrechamiento del campo ontológico: solo una pequeña parte de los acontecimientos posibles habrá de emerger del magma de posibilidad, que no es infinito pero si multidimensional. Guattari llama a este proceso “</w:t>
      </w:r>
      <w:proofErr w:type="spellStart"/>
      <w:r>
        <w:t>caósmosis</w:t>
      </w:r>
      <w:proofErr w:type="spellEnd"/>
      <w:r>
        <w:t>”: del magma de posibilidad surge un orden provisional, y este orden excluye otros conjuntos posibles. Incontables posibilidades se pierden debido a que su potencia subjetiva no es suficiente para liberar una morfogénesis creativa” (Franco “</w:t>
      </w:r>
      <w:proofErr w:type="spellStart"/>
      <w:r>
        <w:t>Bifo</w:t>
      </w:r>
      <w:proofErr w:type="spellEnd"/>
      <w:r>
        <w:t xml:space="preserve">” Berardi: </w:t>
      </w:r>
      <w:proofErr w:type="spellStart"/>
      <w:r>
        <w:rPr>
          <w:i/>
        </w:rPr>
        <w:t>Futurabilidad</w:t>
      </w:r>
      <w:proofErr w:type="spellEnd"/>
      <w:r>
        <w:rPr>
          <w:i/>
        </w:rPr>
        <w:t xml:space="preserve">. La era de la </w:t>
      </w:r>
      <w:proofErr w:type="spellStart"/>
      <w:r>
        <w:rPr>
          <w:i/>
        </w:rPr>
        <w:t>impontencia</w:t>
      </w:r>
      <w:proofErr w:type="spellEnd"/>
      <w:r>
        <w:rPr>
          <w:i/>
        </w:rPr>
        <w:t xml:space="preserve"> y el horizonte de la posibilidad, </w:t>
      </w:r>
      <w:r>
        <w:t>Ed. Caja Negra, Buenos Aires, 2019, p. 205).</w:t>
      </w:r>
    </w:p>
  </w:footnote>
  <w:footnote w:id="47">
    <w:p w14:paraId="460B4A94" w14:textId="77777777" w:rsidR="005D7209" w:rsidRDefault="005D7209" w:rsidP="00682007">
      <w:pPr>
        <w:pStyle w:val="Textonotapie"/>
      </w:pPr>
      <w:r>
        <w:rPr>
          <w:rStyle w:val="Refdenotaalpie"/>
        </w:rPr>
        <w:footnoteRef/>
      </w:r>
      <w:r>
        <w:t xml:space="preserve"> John Berger: </w:t>
      </w:r>
      <w:r>
        <w:rPr>
          <w:i/>
          <w:iCs/>
        </w:rPr>
        <w:t xml:space="preserve">El tamaño de una bolsa, </w:t>
      </w:r>
      <w:r>
        <w:t>Ed. Taurus, Madrid, 2004, p. 37.</w:t>
      </w:r>
    </w:p>
  </w:footnote>
  <w:footnote w:id="48">
    <w:p w14:paraId="3A38FC30" w14:textId="77777777" w:rsidR="005D7209" w:rsidRDefault="005D7209" w:rsidP="00682007">
      <w:pPr>
        <w:pStyle w:val="Textonotapie"/>
      </w:pPr>
      <w:r>
        <w:rPr>
          <w:rStyle w:val="Refdenotaalpie"/>
        </w:rPr>
        <w:footnoteRef/>
      </w:r>
      <w:r>
        <w:t xml:space="preserve"> “Lo que toca toda pintura verdadera es una ausencia, una ausencia de la que, de no ser por la pintura, no seríamos conscientes. Y eso sería lo que perderíamos. Lo que el pintor busca sin cesar es un lugar para recibir la ausencia. Si lo encuentra, lo dispone, lo ordena, y reza por que aparezca la cara de la ausencia” (John Berger: </w:t>
      </w:r>
      <w:r>
        <w:rPr>
          <w:i/>
          <w:iCs/>
        </w:rPr>
        <w:t xml:space="preserve">El tamaño de una bolsa, </w:t>
      </w:r>
      <w:r>
        <w:t>Ed. Taurus, Madrid, 2004, p. 38).</w:t>
      </w:r>
    </w:p>
  </w:footnote>
  <w:footnote w:id="49">
    <w:p w14:paraId="707995E9" w14:textId="77777777" w:rsidR="005D7209" w:rsidRPr="00607D11" w:rsidRDefault="005D7209" w:rsidP="00682007">
      <w:pPr>
        <w:pStyle w:val="Textonotapie"/>
      </w:pPr>
      <w:r>
        <w:rPr>
          <w:rStyle w:val="Refdenotaalpie"/>
        </w:rPr>
        <w:footnoteRef/>
      </w:r>
      <w:r>
        <w:t xml:space="preserve"> “Sólo sé que nunca me ha fascinado un cuadro que entiendo del todo. Necesito tener la sensación de que se me escapa algo para profesarle mi amor. Esa cualidad de exceso críptico tal vez explique el lenguaje que emplea la gente al ver una obra de arte, como si un objeto inanimado estuviera dotado de un poder elusivo, casi sagrado. En una cultura inundada por imágenes simplistas que se suceden a toda velocidad por una pantalla, que nos miran furtivamente desde las revistas o se alzan sobre nosotros por las calles de una ciudad, imágenes tan cifradas, tan fáciles de interpretar que no requieren de nosotros más que dinero, mirar prolongada y detenidamente un cuadro puede permitirnos adentrarnos en el enigma de la contemplación, porque debemos esforzarnos por dar sentido a la imagen que tenemos ante nosotros” (Siri </w:t>
      </w:r>
      <w:proofErr w:type="spellStart"/>
      <w:r>
        <w:t>Hustvedt</w:t>
      </w:r>
      <w:proofErr w:type="spellEnd"/>
      <w:r>
        <w:t xml:space="preserve">: “Los placeres del desconcierto” en </w:t>
      </w:r>
      <w:r>
        <w:rPr>
          <w:i/>
        </w:rPr>
        <w:t xml:space="preserve">Los misterios del rectángulo, </w:t>
      </w:r>
      <w:r>
        <w:t>Ed. Circe, Barcelona, 2007, p. 33).</w:t>
      </w:r>
    </w:p>
  </w:footnote>
  <w:footnote w:id="50">
    <w:p w14:paraId="4C565C56" w14:textId="71069966" w:rsidR="005D7209" w:rsidRDefault="005D7209" w:rsidP="006168C1">
      <w:pPr>
        <w:pStyle w:val="Textonotapie"/>
      </w:pPr>
      <w:r>
        <w:rPr>
          <w:rStyle w:val="Refdenotaalpie"/>
        </w:rPr>
        <w:footnoteRef/>
      </w:r>
      <w:r>
        <w:t xml:space="preserve"> “La belleza no es más que la cantidad de conciencia de nuestras perversiones”. Breton dijo: “La belleza será convulsiva o no será”. La nueva era surrealista del “canibalismo de los objetos” justifica igualmente esta conclusión: “¡La belleza será comestible o no será!” (Salvador Dalí: </w:t>
      </w:r>
      <w:r>
        <w:rPr>
          <w:i/>
          <w:iCs/>
        </w:rPr>
        <w:t xml:space="preserve">Los cornudos del viejo arte moderno, </w:t>
      </w:r>
      <w:r>
        <w:t>Ed. Tusquets, Barcelona, 1990, p. 67).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1FA"/>
    <w:rsid w:val="000010BE"/>
    <w:rsid w:val="00006777"/>
    <w:rsid w:val="000172D2"/>
    <w:rsid w:val="00034368"/>
    <w:rsid w:val="00037B66"/>
    <w:rsid w:val="00040B44"/>
    <w:rsid w:val="000452B7"/>
    <w:rsid w:val="00053FB3"/>
    <w:rsid w:val="00055BA1"/>
    <w:rsid w:val="00056057"/>
    <w:rsid w:val="000675DE"/>
    <w:rsid w:val="0007368E"/>
    <w:rsid w:val="00074F19"/>
    <w:rsid w:val="00091E0F"/>
    <w:rsid w:val="0009233A"/>
    <w:rsid w:val="000A1669"/>
    <w:rsid w:val="000A56F1"/>
    <w:rsid w:val="000C2244"/>
    <w:rsid w:val="000E64E6"/>
    <w:rsid w:val="000F55B1"/>
    <w:rsid w:val="000F6962"/>
    <w:rsid w:val="001012D5"/>
    <w:rsid w:val="0010433F"/>
    <w:rsid w:val="0011102E"/>
    <w:rsid w:val="00113FE1"/>
    <w:rsid w:val="0011516A"/>
    <w:rsid w:val="0014156B"/>
    <w:rsid w:val="00145F7B"/>
    <w:rsid w:val="0014671C"/>
    <w:rsid w:val="00151A16"/>
    <w:rsid w:val="001542F5"/>
    <w:rsid w:val="00154B12"/>
    <w:rsid w:val="0017439C"/>
    <w:rsid w:val="00195699"/>
    <w:rsid w:val="001B1EF2"/>
    <w:rsid w:val="001B6AE5"/>
    <w:rsid w:val="001B6C07"/>
    <w:rsid w:val="001E0434"/>
    <w:rsid w:val="001E399C"/>
    <w:rsid w:val="001F0C99"/>
    <w:rsid w:val="002119EF"/>
    <w:rsid w:val="0021241E"/>
    <w:rsid w:val="00234FB9"/>
    <w:rsid w:val="0024579C"/>
    <w:rsid w:val="0024591E"/>
    <w:rsid w:val="00246694"/>
    <w:rsid w:val="002515E3"/>
    <w:rsid w:val="00261CDF"/>
    <w:rsid w:val="002675CD"/>
    <w:rsid w:val="00286F22"/>
    <w:rsid w:val="002A723D"/>
    <w:rsid w:val="002B7EB7"/>
    <w:rsid w:val="002D1CB2"/>
    <w:rsid w:val="002D3555"/>
    <w:rsid w:val="002D5C9B"/>
    <w:rsid w:val="002E2B0F"/>
    <w:rsid w:val="00306015"/>
    <w:rsid w:val="0031049F"/>
    <w:rsid w:val="0031588E"/>
    <w:rsid w:val="0032000E"/>
    <w:rsid w:val="00321D66"/>
    <w:rsid w:val="003248C1"/>
    <w:rsid w:val="00327492"/>
    <w:rsid w:val="003548E8"/>
    <w:rsid w:val="0037694D"/>
    <w:rsid w:val="00383D0B"/>
    <w:rsid w:val="00385D50"/>
    <w:rsid w:val="00391CDD"/>
    <w:rsid w:val="003A02B0"/>
    <w:rsid w:val="003B1D1C"/>
    <w:rsid w:val="003C260A"/>
    <w:rsid w:val="003C3637"/>
    <w:rsid w:val="003D3ACA"/>
    <w:rsid w:val="003E6A7D"/>
    <w:rsid w:val="00401895"/>
    <w:rsid w:val="00417273"/>
    <w:rsid w:val="00423727"/>
    <w:rsid w:val="004244F2"/>
    <w:rsid w:val="00436EFF"/>
    <w:rsid w:val="00437513"/>
    <w:rsid w:val="004459F7"/>
    <w:rsid w:val="00446D8E"/>
    <w:rsid w:val="00450F27"/>
    <w:rsid w:val="004708B7"/>
    <w:rsid w:val="00481FD3"/>
    <w:rsid w:val="00483A37"/>
    <w:rsid w:val="0048564D"/>
    <w:rsid w:val="00490C88"/>
    <w:rsid w:val="00496A90"/>
    <w:rsid w:val="00496ADD"/>
    <w:rsid w:val="004A0406"/>
    <w:rsid w:val="004B6CF7"/>
    <w:rsid w:val="004B7ADA"/>
    <w:rsid w:val="004C08D0"/>
    <w:rsid w:val="004C0C2F"/>
    <w:rsid w:val="004C63BD"/>
    <w:rsid w:val="004D6E06"/>
    <w:rsid w:val="004F624F"/>
    <w:rsid w:val="0051230B"/>
    <w:rsid w:val="00512573"/>
    <w:rsid w:val="0051574E"/>
    <w:rsid w:val="005259B1"/>
    <w:rsid w:val="00534268"/>
    <w:rsid w:val="00553684"/>
    <w:rsid w:val="00566B62"/>
    <w:rsid w:val="00576951"/>
    <w:rsid w:val="005903C7"/>
    <w:rsid w:val="005926F6"/>
    <w:rsid w:val="005C1F19"/>
    <w:rsid w:val="005D4CFE"/>
    <w:rsid w:val="005D7209"/>
    <w:rsid w:val="005E12E6"/>
    <w:rsid w:val="005E2A31"/>
    <w:rsid w:val="005E7186"/>
    <w:rsid w:val="005F5123"/>
    <w:rsid w:val="005F7C12"/>
    <w:rsid w:val="006168C1"/>
    <w:rsid w:val="00621C67"/>
    <w:rsid w:val="00621F43"/>
    <w:rsid w:val="006304DA"/>
    <w:rsid w:val="00650DB5"/>
    <w:rsid w:val="00672444"/>
    <w:rsid w:val="006811D5"/>
    <w:rsid w:val="00681E56"/>
    <w:rsid w:val="00682007"/>
    <w:rsid w:val="00684B0D"/>
    <w:rsid w:val="0069024C"/>
    <w:rsid w:val="00690D7C"/>
    <w:rsid w:val="0069490E"/>
    <w:rsid w:val="00696A5B"/>
    <w:rsid w:val="006A0A91"/>
    <w:rsid w:val="006A76A7"/>
    <w:rsid w:val="006E06B2"/>
    <w:rsid w:val="006E7A6B"/>
    <w:rsid w:val="00702F18"/>
    <w:rsid w:val="00703560"/>
    <w:rsid w:val="00704344"/>
    <w:rsid w:val="007054E4"/>
    <w:rsid w:val="00713583"/>
    <w:rsid w:val="00715E93"/>
    <w:rsid w:val="007330BC"/>
    <w:rsid w:val="0074376A"/>
    <w:rsid w:val="00751DA1"/>
    <w:rsid w:val="00757872"/>
    <w:rsid w:val="0076629A"/>
    <w:rsid w:val="007816A1"/>
    <w:rsid w:val="00783496"/>
    <w:rsid w:val="00785BB7"/>
    <w:rsid w:val="00787262"/>
    <w:rsid w:val="00790E46"/>
    <w:rsid w:val="00793C48"/>
    <w:rsid w:val="007B7E60"/>
    <w:rsid w:val="007C1949"/>
    <w:rsid w:val="007C54DC"/>
    <w:rsid w:val="007D3CBB"/>
    <w:rsid w:val="007D7478"/>
    <w:rsid w:val="007D7CD7"/>
    <w:rsid w:val="007F3641"/>
    <w:rsid w:val="00816ED4"/>
    <w:rsid w:val="00827E67"/>
    <w:rsid w:val="0084683C"/>
    <w:rsid w:val="008670DA"/>
    <w:rsid w:val="00890BE6"/>
    <w:rsid w:val="008A5C9F"/>
    <w:rsid w:val="008B3B7A"/>
    <w:rsid w:val="008B7EDB"/>
    <w:rsid w:val="008C478B"/>
    <w:rsid w:val="008C6389"/>
    <w:rsid w:val="008C650E"/>
    <w:rsid w:val="008D56FD"/>
    <w:rsid w:val="008D7CF4"/>
    <w:rsid w:val="008E4529"/>
    <w:rsid w:val="008E7D43"/>
    <w:rsid w:val="008F0780"/>
    <w:rsid w:val="008F2848"/>
    <w:rsid w:val="008F2C16"/>
    <w:rsid w:val="008F602E"/>
    <w:rsid w:val="00903581"/>
    <w:rsid w:val="00904AC5"/>
    <w:rsid w:val="009063A1"/>
    <w:rsid w:val="009067EB"/>
    <w:rsid w:val="00906A57"/>
    <w:rsid w:val="0091174D"/>
    <w:rsid w:val="00935C57"/>
    <w:rsid w:val="009430A1"/>
    <w:rsid w:val="00946E14"/>
    <w:rsid w:val="00960F3D"/>
    <w:rsid w:val="009621C9"/>
    <w:rsid w:val="00980D79"/>
    <w:rsid w:val="00982021"/>
    <w:rsid w:val="00987043"/>
    <w:rsid w:val="00991952"/>
    <w:rsid w:val="00991FA6"/>
    <w:rsid w:val="0099278C"/>
    <w:rsid w:val="009A466E"/>
    <w:rsid w:val="009C5E20"/>
    <w:rsid w:val="009C6627"/>
    <w:rsid w:val="009D072D"/>
    <w:rsid w:val="009D2AEB"/>
    <w:rsid w:val="009D59B0"/>
    <w:rsid w:val="009E5217"/>
    <w:rsid w:val="009F584D"/>
    <w:rsid w:val="00A03B0F"/>
    <w:rsid w:val="00A17F4D"/>
    <w:rsid w:val="00A325A2"/>
    <w:rsid w:val="00A331E9"/>
    <w:rsid w:val="00A42F5B"/>
    <w:rsid w:val="00A447E5"/>
    <w:rsid w:val="00A45C16"/>
    <w:rsid w:val="00A536AA"/>
    <w:rsid w:val="00A66DDE"/>
    <w:rsid w:val="00A753C4"/>
    <w:rsid w:val="00A928F6"/>
    <w:rsid w:val="00AA6BBA"/>
    <w:rsid w:val="00AB3E29"/>
    <w:rsid w:val="00AC2372"/>
    <w:rsid w:val="00AD113F"/>
    <w:rsid w:val="00B009AA"/>
    <w:rsid w:val="00B00BFF"/>
    <w:rsid w:val="00B01FC6"/>
    <w:rsid w:val="00B11306"/>
    <w:rsid w:val="00B13AF6"/>
    <w:rsid w:val="00B327C7"/>
    <w:rsid w:val="00B40DC9"/>
    <w:rsid w:val="00B41BDF"/>
    <w:rsid w:val="00B53EAB"/>
    <w:rsid w:val="00B72C19"/>
    <w:rsid w:val="00B770B1"/>
    <w:rsid w:val="00B81A4D"/>
    <w:rsid w:val="00B96252"/>
    <w:rsid w:val="00BA3587"/>
    <w:rsid w:val="00BB1B4E"/>
    <w:rsid w:val="00BB38B8"/>
    <w:rsid w:val="00BB409B"/>
    <w:rsid w:val="00BB58C6"/>
    <w:rsid w:val="00BB64A3"/>
    <w:rsid w:val="00BC08E4"/>
    <w:rsid w:val="00BC24FB"/>
    <w:rsid w:val="00BD6246"/>
    <w:rsid w:val="00BD64F6"/>
    <w:rsid w:val="00BE461F"/>
    <w:rsid w:val="00BF1305"/>
    <w:rsid w:val="00BF15A0"/>
    <w:rsid w:val="00BF6952"/>
    <w:rsid w:val="00C02AAD"/>
    <w:rsid w:val="00C7594C"/>
    <w:rsid w:val="00C84408"/>
    <w:rsid w:val="00C868C7"/>
    <w:rsid w:val="00CA261F"/>
    <w:rsid w:val="00CA3B50"/>
    <w:rsid w:val="00CA4240"/>
    <w:rsid w:val="00CB079C"/>
    <w:rsid w:val="00CB5576"/>
    <w:rsid w:val="00CD5BFD"/>
    <w:rsid w:val="00CD7499"/>
    <w:rsid w:val="00CE06B8"/>
    <w:rsid w:val="00CE63F2"/>
    <w:rsid w:val="00CF2016"/>
    <w:rsid w:val="00CF4AEE"/>
    <w:rsid w:val="00D136D4"/>
    <w:rsid w:val="00D30D0A"/>
    <w:rsid w:val="00D32D96"/>
    <w:rsid w:val="00D34B3D"/>
    <w:rsid w:val="00D411FA"/>
    <w:rsid w:val="00D41B7A"/>
    <w:rsid w:val="00D44A53"/>
    <w:rsid w:val="00D52ED1"/>
    <w:rsid w:val="00D53551"/>
    <w:rsid w:val="00D54E39"/>
    <w:rsid w:val="00D56092"/>
    <w:rsid w:val="00D77C7B"/>
    <w:rsid w:val="00D8774A"/>
    <w:rsid w:val="00DA0C37"/>
    <w:rsid w:val="00DC6234"/>
    <w:rsid w:val="00DD60AE"/>
    <w:rsid w:val="00DE3EDD"/>
    <w:rsid w:val="00DE3EFF"/>
    <w:rsid w:val="00DF4F02"/>
    <w:rsid w:val="00E16866"/>
    <w:rsid w:val="00E22671"/>
    <w:rsid w:val="00E31DD4"/>
    <w:rsid w:val="00E3467B"/>
    <w:rsid w:val="00E42097"/>
    <w:rsid w:val="00E43ACC"/>
    <w:rsid w:val="00E45B83"/>
    <w:rsid w:val="00E52542"/>
    <w:rsid w:val="00E7085E"/>
    <w:rsid w:val="00E72CA3"/>
    <w:rsid w:val="00E9489A"/>
    <w:rsid w:val="00E94B1D"/>
    <w:rsid w:val="00EA0D98"/>
    <w:rsid w:val="00EA2EA1"/>
    <w:rsid w:val="00EC2467"/>
    <w:rsid w:val="00EC5C56"/>
    <w:rsid w:val="00EF6117"/>
    <w:rsid w:val="00F01EDB"/>
    <w:rsid w:val="00F07A24"/>
    <w:rsid w:val="00F710C6"/>
    <w:rsid w:val="00F8079D"/>
    <w:rsid w:val="00F90DFE"/>
    <w:rsid w:val="00F979C1"/>
    <w:rsid w:val="00FA02BC"/>
    <w:rsid w:val="00FA2A9C"/>
    <w:rsid w:val="00FA54AA"/>
    <w:rsid w:val="00FB011A"/>
    <w:rsid w:val="00FB0A17"/>
    <w:rsid w:val="00FB294C"/>
    <w:rsid w:val="00FD6E5F"/>
    <w:rsid w:val="00FE43C7"/>
    <w:rsid w:val="00FF52FD"/>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F1B2D45"/>
  <w14:defaultImageDpi w14:val="32767"/>
  <w15:docId w15:val="{C06D6DEF-C060-4EB9-BB20-7065FFA86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nhideWhenUsed/>
    <w:rsid w:val="00FD6E5F"/>
  </w:style>
  <w:style w:type="character" w:customStyle="1" w:styleId="TextonotapieCar">
    <w:name w:val="Texto nota pie Car"/>
    <w:basedOn w:val="Fuentedeprrafopredeter"/>
    <w:link w:val="Textonotapie"/>
    <w:rsid w:val="00FD6E5F"/>
  </w:style>
  <w:style w:type="character" w:styleId="Refdenotaalpie">
    <w:name w:val="footnote reference"/>
    <w:basedOn w:val="Fuentedeprrafopredeter"/>
    <w:unhideWhenUsed/>
    <w:rsid w:val="00FD6E5F"/>
    <w:rPr>
      <w:vertAlign w:val="superscript"/>
    </w:rPr>
  </w:style>
  <w:style w:type="paragraph" w:styleId="Encabezado">
    <w:name w:val="header"/>
    <w:basedOn w:val="Normal"/>
    <w:link w:val="EncabezadoCar"/>
    <w:uiPriority w:val="99"/>
    <w:unhideWhenUsed/>
    <w:rsid w:val="009D072D"/>
    <w:pPr>
      <w:tabs>
        <w:tab w:val="center" w:pos="4252"/>
        <w:tab w:val="right" w:pos="8504"/>
      </w:tabs>
    </w:pPr>
  </w:style>
  <w:style w:type="character" w:customStyle="1" w:styleId="EncabezadoCar">
    <w:name w:val="Encabezado Car"/>
    <w:basedOn w:val="Fuentedeprrafopredeter"/>
    <w:link w:val="Encabezado"/>
    <w:uiPriority w:val="99"/>
    <w:rsid w:val="009D072D"/>
  </w:style>
  <w:style w:type="paragraph" w:styleId="Piedepgina">
    <w:name w:val="footer"/>
    <w:basedOn w:val="Normal"/>
    <w:link w:val="PiedepginaCar"/>
    <w:uiPriority w:val="99"/>
    <w:unhideWhenUsed/>
    <w:rsid w:val="009D072D"/>
    <w:pPr>
      <w:tabs>
        <w:tab w:val="center" w:pos="4252"/>
        <w:tab w:val="right" w:pos="8504"/>
      </w:tabs>
    </w:pPr>
  </w:style>
  <w:style w:type="character" w:customStyle="1" w:styleId="PiedepginaCar">
    <w:name w:val="Pie de página Car"/>
    <w:basedOn w:val="Fuentedeprrafopredeter"/>
    <w:link w:val="Piedepgina"/>
    <w:uiPriority w:val="99"/>
    <w:rsid w:val="009D072D"/>
  </w:style>
  <w:style w:type="character" w:customStyle="1" w:styleId="TextonotapieCar1">
    <w:name w:val="Texto nota pie Car1"/>
    <w:aliases w:val="Texto nota pie Car Car"/>
    <w:rsid w:val="00437513"/>
    <w:rPr>
      <w:lang w:val="es-ES" w:eastAsia="es-ES" w:bidi="ar-SA"/>
    </w:rPr>
  </w:style>
  <w:style w:type="character" w:styleId="Nmerodepgina">
    <w:name w:val="page number"/>
    <w:basedOn w:val="Fuentedeprrafopredeter"/>
    <w:uiPriority w:val="99"/>
    <w:semiHidden/>
    <w:unhideWhenUsed/>
    <w:rsid w:val="009D2A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2629</Words>
  <Characters>14124</Characters>
  <Application>Microsoft Office Word</Application>
  <DocSecurity>0</DocSecurity>
  <Lines>336</Lines>
  <Paragraphs>182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fernando castro flórez</dc:creator>
  <cp:keywords/>
  <dc:description/>
  <cp:lastModifiedBy>Esther Esteban Repiso</cp:lastModifiedBy>
  <cp:revision>2</cp:revision>
  <dcterms:created xsi:type="dcterms:W3CDTF">2025-01-28T15:42:00Z</dcterms:created>
  <dcterms:modified xsi:type="dcterms:W3CDTF">2025-01-28T15:42:00Z</dcterms:modified>
</cp:coreProperties>
</file>